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3F24FA" w:rsidRDefault="00D5547E" w:rsidP="004A6D2F">
      <w:pPr>
        <w:rPr>
          <w:sz w:val="16"/>
          <w:szCs w:val="16"/>
        </w:rPr>
      </w:pPr>
    </w:p>
    <w:tbl>
      <w:tblPr>
        <w:tblW w:w="0" w:type="auto"/>
        <w:tblInd w:w="108" w:type="dxa"/>
        <w:tblLayout w:type="fixed"/>
        <w:tblLook w:val="04A0" w:firstRow="1" w:lastRow="0" w:firstColumn="1" w:lastColumn="0" w:noHBand="0" w:noVBand="1"/>
      </w:tblPr>
      <w:tblGrid>
        <w:gridCol w:w="426"/>
        <w:gridCol w:w="2012"/>
        <w:gridCol w:w="6407"/>
      </w:tblGrid>
      <w:tr w:rsidR="00CE544A" w:rsidRPr="00975B07" w:rsidTr="00852A0B">
        <w:tc>
          <w:tcPr>
            <w:tcW w:w="2438" w:type="dxa"/>
            <w:gridSpan w:val="2"/>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7"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852A0B">
        <w:tc>
          <w:tcPr>
            <w:tcW w:w="2438" w:type="dxa"/>
            <w:gridSpan w:val="2"/>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7" w:type="dxa"/>
            <w:shd w:val="clear" w:color="auto" w:fill="auto"/>
          </w:tcPr>
          <w:p w:rsidR="00F445B1" w:rsidRPr="001356F1" w:rsidRDefault="00893237" w:rsidP="00893237">
            <w:pPr>
              <w:rPr>
                <w:b/>
              </w:rPr>
            </w:pPr>
            <w:r>
              <w:rPr>
                <w:rStyle w:val="Firstpagetablebold"/>
              </w:rPr>
              <w:t>13</w:t>
            </w:r>
            <w:r w:rsidR="00F65114">
              <w:rPr>
                <w:rStyle w:val="Firstpagetablebold"/>
              </w:rPr>
              <w:t xml:space="preserve"> February 201</w:t>
            </w:r>
            <w:r>
              <w:rPr>
                <w:rStyle w:val="Firstpagetablebold"/>
              </w:rPr>
              <w:t>8</w:t>
            </w:r>
          </w:p>
        </w:tc>
      </w:tr>
      <w:tr w:rsidR="00CE544A" w:rsidRPr="00975B07" w:rsidTr="00852A0B">
        <w:tc>
          <w:tcPr>
            <w:tcW w:w="2438" w:type="dxa"/>
            <w:gridSpan w:val="2"/>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7" w:type="dxa"/>
            <w:shd w:val="clear" w:color="auto" w:fill="auto"/>
          </w:tcPr>
          <w:p w:rsidR="00F445B1" w:rsidRPr="001356F1" w:rsidRDefault="00F445B1" w:rsidP="00F65114">
            <w:pPr>
              <w:rPr>
                <w:rStyle w:val="Firstpagetablebold"/>
              </w:rPr>
            </w:pPr>
            <w:r w:rsidRPr="001356F1">
              <w:rPr>
                <w:rStyle w:val="Firstpagetablebold"/>
              </w:rPr>
              <w:t xml:space="preserve">Head of </w:t>
            </w:r>
            <w:r w:rsidR="00F65114">
              <w:rPr>
                <w:rStyle w:val="Firstpagetablebold"/>
              </w:rPr>
              <w:t xml:space="preserve">Community </w:t>
            </w:r>
            <w:r w:rsidRPr="001356F1">
              <w:rPr>
                <w:rStyle w:val="Firstpagetablebold"/>
              </w:rPr>
              <w:t>Service</w:t>
            </w:r>
            <w:r w:rsidR="00F65114">
              <w:rPr>
                <w:rStyle w:val="Firstpagetablebold"/>
              </w:rPr>
              <w:t>s</w:t>
            </w:r>
          </w:p>
        </w:tc>
      </w:tr>
      <w:tr w:rsidR="00CE544A" w:rsidRPr="00975B07" w:rsidTr="00852A0B">
        <w:tc>
          <w:tcPr>
            <w:tcW w:w="2438" w:type="dxa"/>
            <w:gridSpan w:val="2"/>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7" w:type="dxa"/>
            <w:shd w:val="clear" w:color="auto" w:fill="auto"/>
          </w:tcPr>
          <w:p w:rsidR="00F445B1" w:rsidRPr="001356F1" w:rsidRDefault="00F65114" w:rsidP="004A6D2F">
            <w:pPr>
              <w:rPr>
                <w:rStyle w:val="Firstpagetablebold"/>
              </w:rPr>
            </w:pPr>
            <w:r>
              <w:rPr>
                <w:rStyle w:val="Firstpagetablebold"/>
              </w:rPr>
              <w:t>Grant Allocations to Community and Voluntary Organisations</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8E456B" w:rsidP="000F4751">
            <w:r>
              <w:t>To allocate grants to community and voluntary organisations through the Community Grants Programme</w:t>
            </w:r>
            <w:r w:rsidR="00D5547E" w:rsidRPr="001356F1">
              <w:t>.</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5F7F7E">
            <w:r w:rsidRPr="001356F1">
              <w:t>Yes</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D5547E" w:rsidP="0074345D">
            <w:r w:rsidRPr="001356F1">
              <w:t xml:space="preserve">Councillor </w:t>
            </w:r>
            <w:r w:rsidR="0074345D">
              <w:t>Dee Sinclair</w:t>
            </w:r>
            <w:r w:rsidR="008E456B">
              <w:t>, Culture and Communities Councillor Susan Brown, Customer and Corporate Services</w:t>
            </w:r>
          </w:p>
        </w:tc>
      </w:tr>
      <w:tr w:rsidR="0080749A"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8E456B" w:rsidP="005F7F7E">
            <w:r>
              <w:t>Strong and Active Communities</w:t>
            </w:r>
            <w:r w:rsidR="0080749A" w:rsidRPr="001356F1">
              <w:t>.</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8E456B" w:rsidP="005F7F7E">
            <w:r>
              <w:t>Oxford City Council Corporate Plan</w:t>
            </w:r>
          </w:p>
        </w:tc>
      </w:tr>
      <w:tr w:rsidR="005F7F7E" w:rsidRPr="00975B07" w:rsidTr="00980F6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13"/>
        </w:trPr>
        <w:tc>
          <w:tcPr>
            <w:tcW w:w="8845" w:type="dxa"/>
            <w:gridSpan w:val="3"/>
            <w:tcBorders>
              <w:bottom w:val="single" w:sz="8" w:space="0" w:color="000000"/>
            </w:tcBorders>
          </w:tcPr>
          <w:p w:rsidR="005F7F7E" w:rsidRPr="00975B07" w:rsidRDefault="006C00C3" w:rsidP="004A6D2F">
            <w:proofErr w:type="spellStart"/>
            <w:r>
              <w:rPr>
                <w:rStyle w:val="Firstpagetablebold"/>
              </w:rPr>
              <w:t>Recommendations</w:t>
            </w:r>
            <w:r w:rsidR="005F7F7E">
              <w:rPr>
                <w:rStyle w:val="Firstpagetablebold"/>
              </w:rPr>
              <w:t>:That</w:t>
            </w:r>
            <w:proofErr w:type="spellEnd"/>
            <w:r w:rsidR="005F7F7E">
              <w:rPr>
                <w:rStyle w:val="Firstpagetablebold"/>
              </w:rPr>
              <w:t xml:space="preserve"> the City Executive Board resolves to:</w:t>
            </w:r>
          </w:p>
        </w:tc>
      </w:tr>
      <w:tr w:rsidR="0030208D" w:rsidRPr="00975B07" w:rsidTr="00A46E9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rsidR="0030208D" w:rsidRPr="00340ABA" w:rsidRDefault="005C0FF4" w:rsidP="00383727">
            <w:pPr>
              <w:rPr>
                <w:b/>
              </w:rPr>
            </w:pPr>
            <w:r w:rsidRPr="006C00C3">
              <w:rPr>
                <w:rStyle w:val="Firstpagetablebold"/>
              </w:rPr>
              <w:t>Approve</w:t>
            </w:r>
            <w:r w:rsidRPr="00340ABA">
              <w:rPr>
                <w:rStyle w:val="Firstpagetablebold"/>
                <w:b w:val="0"/>
              </w:rPr>
              <w:t xml:space="preserve"> the recommendations for the commissioning programme as set out in Appendi</w:t>
            </w:r>
            <w:r w:rsidR="00383727">
              <w:rPr>
                <w:rStyle w:val="Firstpagetablebold"/>
                <w:b w:val="0"/>
              </w:rPr>
              <w:t>ces</w:t>
            </w:r>
            <w:r w:rsidRPr="00340ABA">
              <w:rPr>
                <w:rStyle w:val="Firstpagetablebold"/>
                <w:b w:val="0"/>
              </w:rPr>
              <w:t xml:space="preserve"> 1</w:t>
            </w:r>
            <w:r w:rsidR="00383727">
              <w:rPr>
                <w:rStyle w:val="Firstpagetablebold"/>
                <w:b w:val="0"/>
              </w:rPr>
              <w:t xml:space="preserve"> and 2</w:t>
            </w:r>
            <w:r w:rsidR="00D10C33">
              <w:rPr>
                <w:b/>
              </w:rPr>
              <w:t>.</w:t>
            </w:r>
          </w:p>
        </w:tc>
      </w:tr>
      <w:tr w:rsidR="0030208D" w:rsidRPr="00975B07" w:rsidTr="00A46E9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nil"/>
              <w:left w:val="single" w:sz="8" w:space="0" w:color="000000"/>
              <w:bottom w:val="nil"/>
              <w:right w:val="nil"/>
            </w:tcBorders>
          </w:tcPr>
          <w:p w:rsidR="0030208D" w:rsidRPr="00975B07" w:rsidRDefault="00046D2B" w:rsidP="004A6D2F">
            <w:r w:rsidRPr="00975B07">
              <w:t>2.</w:t>
            </w:r>
          </w:p>
        </w:tc>
        <w:tc>
          <w:tcPr>
            <w:tcW w:w="8419" w:type="dxa"/>
            <w:gridSpan w:val="2"/>
            <w:tcBorders>
              <w:top w:val="nil"/>
              <w:left w:val="nil"/>
              <w:bottom w:val="nil"/>
              <w:right w:val="single" w:sz="8" w:space="0" w:color="000000"/>
            </w:tcBorders>
            <w:shd w:val="clear" w:color="auto" w:fill="auto"/>
          </w:tcPr>
          <w:p w:rsidR="0030208D" w:rsidRPr="00340ABA" w:rsidRDefault="008E0142" w:rsidP="008E5389">
            <w:pPr>
              <w:rPr>
                <w:b/>
              </w:rPr>
            </w:pPr>
            <w:r w:rsidRPr="006C00C3">
              <w:rPr>
                <w:rStyle w:val="Firstpagetablebold"/>
              </w:rPr>
              <w:t>Delegate authority</w:t>
            </w:r>
            <w:r>
              <w:rPr>
                <w:rStyle w:val="Firstpagetablebold"/>
                <w:b w:val="0"/>
              </w:rPr>
              <w:t xml:space="preserve"> to the Head of Community Services</w:t>
            </w:r>
            <w:r w:rsidR="00D10C33">
              <w:rPr>
                <w:rStyle w:val="Firstpagetablebold"/>
                <w:b w:val="0"/>
              </w:rPr>
              <w:t>,</w:t>
            </w:r>
            <w:r>
              <w:rPr>
                <w:rStyle w:val="Firstpagetablebold"/>
                <w:b w:val="0"/>
              </w:rPr>
              <w:t xml:space="preserve"> in consultation with the Executive Members for Customer and Corporate Services and Culture and Communities</w:t>
            </w:r>
            <w:r w:rsidR="00D10C33">
              <w:rPr>
                <w:rStyle w:val="Firstpagetablebold"/>
                <w:b w:val="0"/>
              </w:rPr>
              <w:t>,</w:t>
            </w:r>
            <w:r>
              <w:rPr>
                <w:rStyle w:val="Firstpagetablebold"/>
                <w:b w:val="0"/>
              </w:rPr>
              <w:t xml:space="preserve"> to approve</w:t>
            </w:r>
            <w:r w:rsidR="005C0FF4" w:rsidRPr="00340ABA">
              <w:rPr>
                <w:rStyle w:val="Firstpagetablebold"/>
                <w:b w:val="0"/>
              </w:rPr>
              <w:t xml:space="preserve"> the recommendations for applications received to the grants open bidding programme</w:t>
            </w:r>
            <w:r w:rsidR="008135DB">
              <w:rPr>
                <w:rStyle w:val="Firstpagetablebold"/>
                <w:b w:val="0"/>
              </w:rPr>
              <w:t xml:space="preserve"> for the period of 2018-21</w:t>
            </w:r>
            <w:r w:rsidR="005514EA">
              <w:rPr>
                <w:b/>
              </w:rPr>
              <w:t xml:space="preserve"> </w:t>
            </w:r>
            <w:r w:rsidR="005514EA" w:rsidRPr="005514EA">
              <w:t>and</w:t>
            </w:r>
            <w:r w:rsidR="005514EA">
              <w:rPr>
                <w:b/>
              </w:rPr>
              <w:t xml:space="preserve"> </w:t>
            </w:r>
            <w:r w:rsidR="005514EA">
              <w:t>allocate funding to art and culture organisations that apply for funding through this theme from April 2019.</w:t>
            </w:r>
          </w:p>
        </w:tc>
      </w:tr>
      <w:tr w:rsidR="00232F5B" w:rsidRPr="00975B07" w:rsidTr="00980F6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nil"/>
              <w:left w:val="single" w:sz="8" w:space="0" w:color="000000"/>
              <w:bottom w:val="single" w:sz="8" w:space="0" w:color="000000"/>
              <w:right w:val="nil"/>
            </w:tcBorders>
          </w:tcPr>
          <w:p w:rsidR="0030208D" w:rsidRPr="00975B07" w:rsidRDefault="00046D2B" w:rsidP="004A6D2F">
            <w:r w:rsidRPr="00975B07">
              <w:t>3.</w:t>
            </w:r>
          </w:p>
        </w:tc>
        <w:tc>
          <w:tcPr>
            <w:tcW w:w="8419" w:type="dxa"/>
            <w:gridSpan w:val="2"/>
            <w:tcBorders>
              <w:top w:val="nil"/>
              <w:left w:val="nil"/>
              <w:bottom w:val="single" w:sz="8" w:space="0" w:color="000000"/>
              <w:right w:val="single" w:sz="8" w:space="0" w:color="000000"/>
            </w:tcBorders>
            <w:shd w:val="clear" w:color="auto" w:fill="auto"/>
          </w:tcPr>
          <w:p w:rsidR="0030208D" w:rsidRPr="00340ABA" w:rsidRDefault="005C0FF4" w:rsidP="00183657">
            <w:pPr>
              <w:rPr>
                <w:b/>
              </w:rPr>
            </w:pPr>
            <w:r w:rsidRPr="006C00C3">
              <w:rPr>
                <w:rStyle w:val="Firstpagetablebold"/>
              </w:rPr>
              <w:t>Delegate authority</w:t>
            </w:r>
            <w:r w:rsidRPr="00340ABA">
              <w:rPr>
                <w:rStyle w:val="Firstpagetablebold"/>
                <w:b w:val="0"/>
              </w:rPr>
              <w:t xml:space="preserve"> to the Executive Director for Organisational Development and Corporate Services in consultation with the Executive Members for Customer and Corporate Services and Culture and Communities to allocate </w:t>
            </w:r>
            <w:r w:rsidR="00340ABA" w:rsidRPr="00340ABA">
              <w:rPr>
                <w:rStyle w:val="Firstpagetablebold"/>
                <w:b w:val="0"/>
              </w:rPr>
              <w:t xml:space="preserve">the </w:t>
            </w:r>
            <w:r w:rsidR="00183657">
              <w:rPr>
                <w:rStyle w:val="Firstpagetablebold"/>
                <w:b w:val="0"/>
              </w:rPr>
              <w:t>development fund</w:t>
            </w:r>
            <w:r w:rsidR="004A4655">
              <w:rPr>
                <w:rStyle w:val="Firstpagetablebold"/>
                <w:b w:val="0"/>
              </w:rPr>
              <w:t xml:space="preserve"> </w:t>
            </w:r>
            <w:r w:rsidR="00340ABA" w:rsidRPr="00340ABA">
              <w:rPr>
                <w:rStyle w:val="Firstpagetablebold"/>
                <w:b w:val="0"/>
              </w:rPr>
              <w:t>in the Advice and Money Management commissioning theme</w:t>
            </w:r>
            <w:r w:rsidR="008135DB">
              <w:rPr>
                <w:rStyle w:val="Firstpagetablebold"/>
                <w:b w:val="0"/>
              </w:rPr>
              <w:t xml:space="preserve"> for the period of 2018-21</w:t>
            </w:r>
            <w:r w:rsidR="00340ABA" w:rsidRPr="00340ABA">
              <w:rPr>
                <w:rStyle w:val="Firstpagetablebold"/>
                <w:b w:val="0"/>
              </w:rPr>
              <w:t>.</w:t>
            </w:r>
          </w:p>
        </w:tc>
      </w:tr>
    </w:tbl>
    <w:p w:rsidR="00CE544A" w:rsidRPr="003F24FA" w:rsidRDefault="00CE544A" w:rsidP="003F24FA">
      <w:pPr>
        <w:spacing w:after="0"/>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3F24FA">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340ABA" w:rsidP="008E5389">
            <w:r>
              <w:t>201</w:t>
            </w:r>
            <w:r w:rsidR="008E5389">
              <w:t>8/</w:t>
            </w:r>
            <w:r w:rsidR="008E0142">
              <w:t>21</w:t>
            </w:r>
            <w:r>
              <w:t xml:space="preserve"> recommendations for the community and voluntary organisations grants commissioning programme </w:t>
            </w:r>
          </w:p>
        </w:tc>
      </w:tr>
      <w:tr w:rsidR="00912D6C" w:rsidRPr="00975B07" w:rsidTr="003F24FA">
        <w:tc>
          <w:tcPr>
            <w:tcW w:w="2438" w:type="dxa"/>
            <w:tcBorders>
              <w:top w:val="nil"/>
              <w:left w:val="single" w:sz="4" w:space="0" w:color="auto"/>
              <w:bottom w:val="nil"/>
              <w:right w:val="nil"/>
            </w:tcBorders>
            <w:shd w:val="clear" w:color="auto" w:fill="auto"/>
          </w:tcPr>
          <w:p w:rsidR="00912D6C" w:rsidRPr="00975B07" w:rsidRDefault="00912D6C" w:rsidP="004A6D2F">
            <w:r>
              <w:t>Appendix 2</w:t>
            </w:r>
          </w:p>
        </w:tc>
        <w:tc>
          <w:tcPr>
            <w:tcW w:w="6406" w:type="dxa"/>
            <w:tcBorders>
              <w:top w:val="nil"/>
              <w:left w:val="nil"/>
              <w:bottom w:val="nil"/>
              <w:right w:val="single" w:sz="4" w:space="0" w:color="auto"/>
            </w:tcBorders>
          </w:tcPr>
          <w:p w:rsidR="00912D6C" w:rsidRDefault="00912D6C" w:rsidP="008E5389">
            <w:r>
              <w:t>2018/19 recommendations for the Inclusive Arts and Culture commissioning theme.</w:t>
            </w:r>
          </w:p>
        </w:tc>
      </w:tr>
      <w:tr w:rsidR="00ED5860" w:rsidRPr="00975B07" w:rsidTr="00912D6C">
        <w:tc>
          <w:tcPr>
            <w:tcW w:w="2438" w:type="dxa"/>
            <w:tcBorders>
              <w:top w:val="nil"/>
              <w:left w:val="single" w:sz="8" w:space="0" w:color="000000"/>
              <w:bottom w:val="single" w:sz="4" w:space="0" w:color="auto"/>
              <w:right w:val="nil"/>
            </w:tcBorders>
            <w:shd w:val="clear" w:color="auto" w:fill="auto"/>
          </w:tcPr>
          <w:p w:rsidR="00ED5860" w:rsidRPr="00975B07" w:rsidRDefault="0030208D" w:rsidP="00B419DE">
            <w:r w:rsidRPr="00975B07">
              <w:t xml:space="preserve">Appendix </w:t>
            </w:r>
            <w:r w:rsidR="00B419DE">
              <w:t>3</w:t>
            </w:r>
          </w:p>
        </w:tc>
        <w:tc>
          <w:tcPr>
            <w:tcW w:w="6406" w:type="dxa"/>
            <w:tcBorders>
              <w:top w:val="nil"/>
              <w:left w:val="nil"/>
              <w:bottom w:val="single" w:sz="4" w:space="0" w:color="auto"/>
              <w:right w:val="single" w:sz="8" w:space="0" w:color="000000"/>
            </w:tcBorders>
          </w:tcPr>
          <w:p w:rsidR="00ED5860" w:rsidRPr="001356F1" w:rsidRDefault="008E0142" w:rsidP="004A6D2F">
            <w:r>
              <w:t>CEB report risk register</w:t>
            </w:r>
          </w:p>
        </w:tc>
      </w:tr>
    </w:tbl>
    <w:p w:rsidR="00B419DE" w:rsidRDefault="00B419DE" w:rsidP="00340ABA">
      <w:pPr>
        <w:pStyle w:val="Heading1"/>
        <w:spacing w:before="0" w:after="0"/>
        <w:jc w:val="both"/>
      </w:pPr>
    </w:p>
    <w:p w:rsidR="00340ABA" w:rsidRDefault="00340ABA" w:rsidP="003B0D2D">
      <w:pPr>
        <w:pStyle w:val="Heading1"/>
        <w:spacing w:before="0"/>
        <w:jc w:val="both"/>
      </w:pPr>
      <w:r w:rsidRPr="005C06BF">
        <w:lastRenderedPageBreak/>
        <w:t xml:space="preserve">Introduction </w:t>
      </w:r>
    </w:p>
    <w:p w:rsidR="00EE1806" w:rsidRDefault="00340ABA" w:rsidP="00340ABA">
      <w:pPr>
        <w:ind w:left="720" w:hanging="720"/>
        <w:jc w:val="both"/>
        <w:rPr>
          <w:rFonts w:cs="Arial"/>
          <w:sz w:val="16"/>
          <w:szCs w:val="16"/>
        </w:rPr>
      </w:pPr>
      <w:r>
        <w:rPr>
          <w:rFonts w:cs="Arial"/>
        </w:rPr>
        <w:t>1.</w:t>
      </w:r>
      <w:r>
        <w:rPr>
          <w:rFonts w:cs="Arial"/>
        </w:rPr>
        <w:tab/>
      </w:r>
      <w:r w:rsidR="00EE1806">
        <w:rPr>
          <w:rFonts w:cs="Arial"/>
        </w:rPr>
        <w:t>Oxford City Council</w:t>
      </w:r>
      <w:r w:rsidR="00EB4685">
        <w:rPr>
          <w:rFonts w:cs="Arial"/>
        </w:rPr>
        <w:t xml:space="preserve"> supports the local </w:t>
      </w:r>
      <w:r w:rsidR="00EE1806">
        <w:rPr>
          <w:rFonts w:cs="Arial"/>
        </w:rPr>
        <w:t xml:space="preserve">community and voluntary sector </w:t>
      </w:r>
      <w:r w:rsidR="00EB4685">
        <w:rPr>
          <w:rFonts w:cs="Arial"/>
        </w:rPr>
        <w:t>with grant aid</w:t>
      </w:r>
      <w:r w:rsidR="00E47B7C">
        <w:rPr>
          <w:rFonts w:cs="Arial"/>
        </w:rPr>
        <w:t xml:space="preserve"> which s</w:t>
      </w:r>
      <w:r w:rsidR="00EB4685">
        <w:rPr>
          <w:rFonts w:cs="Arial"/>
        </w:rPr>
        <w:t xml:space="preserve">upports the Council in meeting its corporate plan objectives.  In 2016/17 our £1.4m grant programme helped fund groups to match or lever in an additional £7,960,060 into the city in return their work helped improve the quality of life for many Oxford residents. </w:t>
      </w:r>
      <w:r w:rsidR="00EE1806">
        <w:rPr>
          <w:rFonts w:cs="Arial"/>
        </w:rPr>
        <w:t xml:space="preserve">  </w:t>
      </w:r>
    </w:p>
    <w:p w:rsidR="00340ABA" w:rsidRPr="00931E58" w:rsidRDefault="00340ABA" w:rsidP="00340ABA">
      <w:pPr>
        <w:spacing w:after="0"/>
        <w:jc w:val="both"/>
        <w:rPr>
          <w:rFonts w:cs="Arial"/>
          <w:sz w:val="16"/>
          <w:szCs w:val="16"/>
        </w:rPr>
      </w:pPr>
    </w:p>
    <w:p w:rsidR="003B0D2D" w:rsidRDefault="002E4410" w:rsidP="003B0D2D">
      <w:pPr>
        <w:ind w:left="720" w:hanging="720"/>
        <w:rPr>
          <w:rFonts w:cs="Arial"/>
        </w:rPr>
      </w:pPr>
      <w:r>
        <w:rPr>
          <w:rFonts w:cs="Arial"/>
        </w:rPr>
        <w:t>2</w:t>
      </w:r>
      <w:r w:rsidR="00D61F91">
        <w:rPr>
          <w:rFonts w:cs="Arial"/>
        </w:rPr>
        <w:t>.</w:t>
      </w:r>
      <w:r w:rsidR="00D61F91">
        <w:rPr>
          <w:rFonts w:cs="Arial"/>
        </w:rPr>
        <w:tab/>
      </w:r>
      <w:r w:rsidR="00C63C74">
        <w:rPr>
          <w:rFonts w:cs="Arial"/>
        </w:rPr>
        <w:t>A review of the community grants programme took place during 2017.  The results of the review were reported to the City Executive Board on the 21 November 2017</w:t>
      </w:r>
      <w:r w:rsidR="00E47B7C">
        <w:rPr>
          <w:rFonts w:cs="Arial"/>
        </w:rPr>
        <w:t xml:space="preserve"> and can be found</w:t>
      </w:r>
      <w:r w:rsidR="007E6B79">
        <w:rPr>
          <w:rFonts w:cs="Arial"/>
        </w:rPr>
        <w:t xml:space="preserve"> </w:t>
      </w:r>
      <w:r w:rsidR="003B0D2D">
        <w:rPr>
          <w:rFonts w:cs="Arial"/>
        </w:rPr>
        <w:t>at</w:t>
      </w:r>
    </w:p>
    <w:p w:rsidR="003B0D2D" w:rsidRDefault="003B0D2D" w:rsidP="003B0D2D">
      <w:pPr>
        <w:ind w:left="1440" w:hanging="720"/>
        <w:rPr>
          <w:rFonts w:cs="Arial"/>
        </w:rPr>
      </w:pPr>
      <w:hyperlink r:id="rId9" w:history="1">
        <w:r w:rsidR="007E6B79" w:rsidRPr="003B0D2D">
          <w:rPr>
            <w:rStyle w:val="Hyperlink"/>
            <w:rFonts w:cs="Arial"/>
            <w:sz w:val="22"/>
            <w:szCs w:val="22"/>
          </w:rPr>
          <w:t>http://mycouncil.oxford.gov.uk/ieListDocuments.aspx?CId=119&amp;MId=4313&amp;Ver=4</w:t>
        </w:r>
      </w:hyperlink>
      <w:r>
        <w:rPr>
          <w:rStyle w:val="Hyperlink"/>
          <w:rFonts w:cs="Arial"/>
          <w:sz w:val="22"/>
          <w:szCs w:val="22"/>
        </w:rPr>
        <w:t>.</w:t>
      </w:r>
      <w:r w:rsidR="00C63C74">
        <w:rPr>
          <w:rFonts w:cs="Arial"/>
        </w:rPr>
        <w:t xml:space="preserve"> </w:t>
      </w:r>
    </w:p>
    <w:p w:rsidR="00340ABA" w:rsidRPr="00CE358C" w:rsidRDefault="00C63C74" w:rsidP="003B0D2D">
      <w:pPr>
        <w:ind w:left="709" w:firstLine="11"/>
      </w:pPr>
      <w:r>
        <w:rPr>
          <w:rFonts w:cs="Arial"/>
        </w:rPr>
        <w:t>It was at that meeting that t</w:t>
      </w:r>
      <w:r w:rsidR="007E6B79">
        <w:rPr>
          <w:rFonts w:cs="Arial"/>
        </w:rPr>
        <w:t xml:space="preserve">he Board approved a three year </w:t>
      </w:r>
      <w:r>
        <w:rPr>
          <w:rFonts w:cs="Arial"/>
        </w:rPr>
        <w:t xml:space="preserve">grant programme </w:t>
      </w:r>
      <w:r w:rsidR="00EC183C">
        <w:rPr>
          <w:rFonts w:cs="Arial"/>
        </w:rPr>
        <w:t xml:space="preserve">from 2018 to 2021 </w:t>
      </w:r>
      <w:r>
        <w:rPr>
          <w:rFonts w:cs="Arial"/>
        </w:rPr>
        <w:t>for community and voluntary organisations working in Oxford.</w:t>
      </w:r>
      <w:r w:rsidR="00340ABA">
        <w:rPr>
          <w:rFonts w:cs="Arial"/>
        </w:rPr>
        <w:t xml:space="preserve">  </w:t>
      </w:r>
    </w:p>
    <w:p w:rsidR="00340ABA" w:rsidRPr="00931E58" w:rsidRDefault="00340ABA" w:rsidP="00340ABA">
      <w:pPr>
        <w:spacing w:after="0"/>
        <w:jc w:val="both"/>
        <w:rPr>
          <w:rFonts w:cs="Arial"/>
          <w:sz w:val="16"/>
          <w:szCs w:val="16"/>
        </w:rPr>
      </w:pPr>
    </w:p>
    <w:p w:rsidR="00340ABA" w:rsidRDefault="00340ABA" w:rsidP="00340ABA">
      <w:pPr>
        <w:jc w:val="both"/>
        <w:rPr>
          <w:rFonts w:cs="Arial"/>
          <w:b/>
        </w:rPr>
      </w:pPr>
      <w:r w:rsidRPr="005C06BF">
        <w:rPr>
          <w:rFonts w:cs="Arial"/>
          <w:b/>
        </w:rPr>
        <w:t xml:space="preserve">Grants </w:t>
      </w:r>
      <w:r w:rsidR="00D80DD3">
        <w:rPr>
          <w:rFonts w:cs="Arial"/>
          <w:b/>
        </w:rPr>
        <w:t xml:space="preserve">and Commissioning Programme </w:t>
      </w:r>
      <w:r w:rsidRPr="005C06BF">
        <w:rPr>
          <w:rFonts w:cs="Arial"/>
          <w:b/>
        </w:rPr>
        <w:t>Budget</w:t>
      </w:r>
    </w:p>
    <w:p w:rsidR="00340ABA" w:rsidRDefault="002E4410" w:rsidP="00340ABA">
      <w:pPr>
        <w:ind w:left="720" w:hanging="720"/>
        <w:jc w:val="both"/>
        <w:rPr>
          <w:rFonts w:cs="Arial"/>
        </w:rPr>
      </w:pPr>
      <w:r>
        <w:rPr>
          <w:rFonts w:cs="Arial"/>
        </w:rPr>
        <w:t>3</w:t>
      </w:r>
      <w:r w:rsidR="00340ABA" w:rsidRPr="005C06BF">
        <w:rPr>
          <w:rFonts w:cs="Arial"/>
        </w:rPr>
        <w:t>.</w:t>
      </w:r>
      <w:r w:rsidR="00340ABA" w:rsidRPr="005C06BF">
        <w:rPr>
          <w:rFonts w:cs="Arial"/>
        </w:rPr>
        <w:tab/>
        <w:t xml:space="preserve">The total indicative budget for the </w:t>
      </w:r>
      <w:r w:rsidR="00340ABA">
        <w:rPr>
          <w:rFonts w:cs="Arial"/>
        </w:rPr>
        <w:t xml:space="preserve">CVO’s </w:t>
      </w:r>
      <w:r w:rsidR="00340ABA" w:rsidRPr="005C06BF">
        <w:rPr>
          <w:rFonts w:cs="Arial"/>
        </w:rPr>
        <w:t xml:space="preserve">grants </w:t>
      </w:r>
      <w:r w:rsidR="00D80DD3">
        <w:rPr>
          <w:rFonts w:cs="Arial"/>
        </w:rPr>
        <w:t xml:space="preserve">and commissioning </w:t>
      </w:r>
      <w:r w:rsidR="00340ABA" w:rsidRPr="005C06BF">
        <w:rPr>
          <w:rFonts w:cs="Arial"/>
        </w:rPr>
        <w:t>programme, as currently proposed</w:t>
      </w:r>
      <w:r w:rsidR="00340ABA">
        <w:rPr>
          <w:rFonts w:cs="Arial"/>
        </w:rPr>
        <w:t xml:space="preserve"> </w:t>
      </w:r>
      <w:r w:rsidR="00E44A1C">
        <w:rPr>
          <w:rFonts w:cs="Arial"/>
        </w:rPr>
        <w:t xml:space="preserve">in the consultation budget </w:t>
      </w:r>
      <w:r w:rsidR="00340ABA">
        <w:rPr>
          <w:rFonts w:cs="Arial"/>
        </w:rPr>
        <w:t>f</w:t>
      </w:r>
      <w:r w:rsidR="00330FE5">
        <w:rPr>
          <w:rFonts w:cs="Arial"/>
        </w:rPr>
        <w:t>rom April 2018 to March 2021</w:t>
      </w:r>
      <w:r w:rsidR="00340ABA" w:rsidRPr="005C06BF">
        <w:rPr>
          <w:rFonts w:cs="Arial"/>
        </w:rPr>
        <w:t>, is set out below.</w:t>
      </w:r>
    </w:p>
    <w:p w:rsidR="00931E58" w:rsidRPr="00931E58" w:rsidRDefault="00931E58" w:rsidP="00340ABA">
      <w:pPr>
        <w:ind w:left="720" w:hanging="720"/>
        <w:jc w:val="both"/>
        <w:rPr>
          <w:rFonts w:cs="Arial"/>
          <w:sz w:val="16"/>
          <w:szCs w:val="16"/>
        </w:rPr>
      </w:pPr>
    </w:p>
    <w:tbl>
      <w:tblPr>
        <w:tblpPr w:leftFromText="180" w:rightFromText="180" w:vertAnchor="text" w:tblpY="1"/>
        <w:tblOverlap w:val="neve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63"/>
        <w:gridCol w:w="1551"/>
      </w:tblGrid>
      <w:tr w:rsidR="005514EA" w:rsidRPr="002426A0" w:rsidTr="005514EA">
        <w:tc>
          <w:tcPr>
            <w:tcW w:w="7963" w:type="dxa"/>
            <w:tcBorders>
              <w:top w:val="nil"/>
              <w:left w:val="nil"/>
            </w:tcBorders>
            <w:shd w:val="clear" w:color="auto" w:fill="auto"/>
          </w:tcPr>
          <w:p w:rsidR="005514EA" w:rsidRDefault="005514EA" w:rsidP="005514EA">
            <w:pPr>
              <w:spacing w:after="0"/>
              <w:rPr>
                <w:b/>
              </w:rPr>
            </w:pPr>
            <w:r w:rsidRPr="002426A0">
              <w:rPr>
                <w:b/>
              </w:rPr>
              <w:t>Table 1</w:t>
            </w:r>
          </w:p>
          <w:p w:rsidR="005514EA" w:rsidRPr="002426A0" w:rsidRDefault="005514EA" w:rsidP="005514EA">
            <w:pPr>
              <w:spacing w:after="0"/>
              <w:rPr>
                <w:b/>
              </w:rPr>
            </w:pPr>
          </w:p>
        </w:tc>
        <w:tc>
          <w:tcPr>
            <w:tcW w:w="1551" w:type="dxa"/>
          </w:tcPr>
          <w:p w:rsidR="005514EA" w:rsidRDefault="008E5389" w:rsidP="005514EA">
            <w:pPr>
              <w:spacing w:after="0"/>
              <w:jc w:val="both"/>
              <w:rPr>
                <w:b/>
              </w:rPr>
            </w:pPr>
            <w:r>
              <w:rPr>
                <w:b/>
              </w:rPr>
              <w:t>18/19 to 20/21</w:t>
            </w:r>
          </w:p>
          <w:p w:rsidR="005514EA" w:rsidRPr="002426A0" w:rsidRDefault="00EC183C" w:rsidP="008E5389">
            <w:pPr>
              <w:spacing w:after="0"/>
              <w:jc w:val="both"/>
              <w:rPr>
                <w:b/>
              </w:rPr>
            </w:pPr>
            <w:r>
              <w:rPr>
                <w:b/>
              </w:rPr>
              <w:t>B</w:t>
            </w:r>
            <w:r w:rsidR="005514EA">
              <w:rPr>
                <w:b/>
              </w:rPr>
              <w:t>udget for each year</w:t>
            </w:r>
          </w:p>
        </w:tc>
      </w:tr>
      <w:tr w:rsidR="005514EA" w:rsidRPr="005C06BF" w:rsidTr="005514EA">
        <w:tc>
          <w:tcPr>
            <w:tcW w:w="7963" w:type="dxa"/>
            <w:shd w:val="clear" w:color="auto" w:fill="auto"/>
          </w:tcPr>
          <w:p w:rsidR="005514EA" w:rsidRPr="005C06BF" w:rsidRDefault="005514EA" w:rsidP="005514EA">
            <w:pPr>
              <w:spacing w:after="0"/>
            </w:pPr>
            <w:r>
              <w:t xml:space="preserve"> Advice &amp; Money Management commissioning theme</w:t>
            </w:r>
          </w:p>
        </w:tc>
        <w:tc>
          <w:tcPr>
            <w:tcW w:w="1551" w:type="dxa"/>
          </w:tcPr>
          <w:p w:rsidR="005514EA" w:rsidRPr="005C06BF" w:rsidRDefault="005514EA" w:rsidP="005514EA">
            <w:pPr>
              <w:spacing w:after="0"/>
              <w:jc w:val="right"/>
            </w:pPr>
            <w:r>
              <w:t>£518,379</w:t>
            </w:r>
          </w:p>
        </w:tc>
      </w:tr>
      <w:tr w:rsidR="005514EA" w:rsidRPr="005C06BF" w:rsidTr="005514EA">
        <w:tc>
          <w:tcPr>
            <w:tcW w:w="7963" w:type="dxa"/>
            <w:shd w:val="clear" w:color="auto" w:fill="auto"/>
          </w:tcPr>
          <w:p w:rsidR="005514EA" w:rsidRPr="005C06BF" w:rsidRDefault="005514EA" w:rsidP="005514EA">
            <w:pPr>
              <w:spacing w:after="0"/>
            </w:pPr>
            <w:r>
              <w:t xml:space="preserve">Homelessness commissioning theme </w:t>
            </w:r>
          </w:p>
        </w:tc>
        <w:tc>
          <w:tcPr>
            <w:tcW w:w="1551" w:type="dxa"/>
          </w:tcPr>
          <w:p w:rsidR="005514EA" w:rsidRDefault="005514EA" w:rsidP="005514EA">
            <w:pPr>
              <w:spacing w:after="0"/>
              <w:jc w:val="right"/>
            </w:pPr>
            <w:r>
              <w:t>£442,279</w:t>
            </w:r>
          </w:p>
        </w:tc>
      </w:tr>
      <w:tr w:rsidR="005514EA" w:rsidRPr="005C06BF" w:rsidTr="005514EA">
        <w:tc>
          <w:tcPr>
            <w:tcW w:w="7963" w:type="dxa"/>
            <w:shd w:val="clear" w:color="auto" w:fill="auto"/>
          </w:tcPr>
          <w:p w:rsidR="005514EA" w:rsidRPr="005C06BF" w:rsidRDefault="005514EA" w:rsidP="005514EA">
            <w:pPr>
              <w:spacing w:after="0"/>
            </w:pPr>
            <w:r>
              <w:t>Inclusive arts &amp; culture commissioning theme</w:t>
            </w:r>
          </w:p>
        </w:tc>
        <w:tc>
          <w:tcPr>
            <w:tcW w:w="1551" w:type="dxa"/>
          </w:tcPr>
          <w:p w:rsidR="005514EA" w:rsidRDefault="005514EA" w:rsidP="005514EA">
            <w:pPr>
              <w:spacing w:after="0"/>
              <w:jc w:val="right"/>
            </w:pPr>
            <w:r>
              <w:t>£235,262</w:t>
            </w:r>
          </w:p>
        </w:tc>
      </w:tr>
      <w:tr w:rsidR="005514EA" w:rsidRPr="005C06BF" w:rsidTr="005514EA">
        <w:tc>
          <w:tcPr>
            <w:tcW w:w="7963" w:type="dxa"/>
            <w:shd w:val="clear" w:color="auto" w:fill="auto"/>
          </w:tcPr>
          <w:p w:rsidR="005514EA" w:rsidRPr="005C06BF" w:rsidRDefault="005514EA" w:rsidP="005514EA">
            <w:pPr>
              <w:spacing w:after="0"/>
            </w:pPr>
            <w:r>
              <w:t xml:space="preserve">Community Safety commissioning theme </w:t>
            </w:r>
          </w:p>
        </w:tc>
        <w:tc>
          <w:tcPr>
            <w:tcW w:w="1551" w:type="dxa"/>
          </w:tcPr>
          <w:p w:rsidR="005514EA" w:rsidRDefault="005514EA" w:rsidP="005514EA">
            <w:pPr>
              <w:spacing w:after="0"/>
              <w:jc w:val="right"/>
            </w:pPr>
            <w:r>
              <w:t>£61,082</w:t>
            </w:r>
          </w:p>
        </w:tc>
      </w:tr>
      <w:tr w:rsidR="005514EA" w:rsidRPr="005C06BF" w:rsidTr="005514EA">
        <w:tc>
          <w:tcPr>
            <w:tcW w:w="7963" w:type="dxa"/>
            <w:shd w:val="clear" w:color="auto" w:fill="auto"/>
          </w:tcPr>
          <w:p w:rsidR="005514EA" w:rsidRPr="005C06BF" w:rsidRDefault="005514EA" w:rsidP="005514EA">
            <w:pPr>
              <w:spacing w:after="0"/>
            </w:pPr>
            <w:r>
              <w:t xml:space="preserve">Community &amp; voluntary sector infrastructure support commissioning theme </w:t>
            </w:r>
          </w:p>
        </w:tc>
        <w:tc>
          <w:tcPr>
            <w:tcW w:w="1551" w:type="dxa"/>
          </w:tcPr>
          <w:p w:rsidR="005514EA" w:rsidRDefault="005514EA" w:rsidP="005514EA">
            <w:pPr>
              <w:spacing w:after="0"/>
              <w:jc w:val="right"/>
            </w:pPr>
            <w:r>
              <w:t>£43,736</w:t>
            </w:r>
          </w:p>
        </w:tc>
      </w:tr>
      <w:tr w:rsidR="005514EA" w:rsidRPr="005C06BF" w:rsidTr="005514EA">
        <w:tc>
          <w:tcPr>
            <w:tcW w:w="7963" w:type="dxa"/>
            <w:shd w:val="clear" w:color="auto" w:fill="auto"/>
          </w:tcPr>
          <w:p w:rsidR="005514EA" w:rsidRPr="005C06BF" w:rsidRDefault="005514EA" w:rsidP="005514EA">
            <w:pPr>
              <w:spacing w:after="0"/>
            </w:pPr>
            <w:r>
              <w:t>Inclusive leisure &amp; play for disabled children and young people commissioning theme</w:t>
            </w:r>
          </w:p>
        </w:tc>
        <w:tc>
          <w:tcPr>
            <w:tcW w:w="1551" w:type="dxa"/>
          </w:tcPr>
          <w:p w:rsidR="005514EA" w:rsidRDefault="005514EA" w:rsidP="005514EA">
            <w:pPr>
              <w:spacing w:after="0"/>
              <w:jc w:val="right"/>
            </w:pPr>
            <w:r>
              <w:t>£15,000</w:t>
            </w:r>
          </w:p>
        </w:tc>
      </w:tr>
      <w:tr w:rsidR="005514EA" w:rsidRPr="005C06BF" w:rsidTr="005514EA">
        <w:tc>
          <w:tcPr>
            <w:tcW w:w="7963" w:type="dxa"/>
            <w:shd w:val="clear" w:color="auto" w:fill="auto"/>
          </w:tcPr>
          <w:p w:rsidR="005514EA" w:rsidRPr="005C06BF" w:rsidRDefault="005514EA" w:rsidP="005514EA">
            <w:pPr>
              <w:spacing w:after="0"/>
            </w:pPr>
            <w:r w:rsidRPr="005C06BF">
              <w:t>Open Bidding</w:t>
            </w:r>
          </w:p>
        </w:tc>
        <w:tc>
          <w:tcPr>
            <w:tcW w:w="1551" w:type="dxa"/>
          </w:tcPr>
          <w:p w:rsidR="005514EA" w:rsidRDefault="005514EA" w:rsidP="005514EA">
            <w:pPr>
              <w:spacing w:after="0"/>
              <w:jc w:val="right"/>
            </w:pPr>
            <w:r>
              <w:t>£115,232</w:t>
            </w:r>
          </w:p>
        </w:tc>
      </w:tr>
      <w:tr w:rsidR="005514EA" w:rsidRPr="005C06BF" w:rsidTr="005514EA">
        <w:tc>
          <w:tcPr>
            <w:tcW w:w="7963" w:type="dxa"/>
            <w:shd w:val="clear" w:color="auto" w:fill="auto"/>
          </w:tcPr>
          <w:p w:rsidR="005514EA" w:rsidRPr="005C06BF" w:rsidRDefault="005514EA" w:rsidP="005514EA">
            <w:pPr>
              <w:spacing w:after="0"/>
            </w:pPr>
            <w:r>
              <w:t>S</w:t>
            </w:r>
            <w:r w:rsidRPr="005C06BF">
              <w:t xml:space="preserve">mall grants </w:t>
            </w:r>
            <w:r>
              <w:t xml:space="preserve">programme to run during the year. </w:t>
            </w:r>
          </w:p>
        </w:tc>
        <w:tc>
          <w:tcPr>
            <w:tcW w:w="1551" w:type="dxa"/>
          </w:tcPr>
          <w:p w:rsidR="005514EA" w:rsidRDefault="005514EA" w:rsidP="005514EA">
            <w:pPr>
              <w:spacing w:after="0"/>
              <w:jc w:val="right"/>
            </w:pPr>
            <w:r>
              <w:t>£30,000</w:t>
            </w:r>
          </w:p>
        </w:tc>
      </w:tr>
      <w:tr w:rsidR="005514EA" w:rsidRPr="002426A0" w:rsidTr="005514EA">
        <w:tc>
          <w:tcPr>
            <w:tcW w:w="7963" w:type="dxa"/>
            <w:shd w:val="clear" w:color="auto" w:fill="auto"/>
          </w:tcPr>
          <w:p w:rsidR="005514EA" w:rsidRPr="002426A0" w:rsidRDefault="005514EA" w:rsidP="005514EA">
            <w:pPr>
              <w:spacing w:after="0"/>
              <w:jc w:val="right"/>
              <w:rPr>
                <w:b/>
              </w:rPr>
            </w:pPr>
            <w:r w:rsidRPr="002426A0">
              <w:rPr>
                <w:b/>
              </w:rPr>
              <w:t xml:space="preserve">                                   Total</w:t>
            </w:r>
          </w:p>
        </w:tc>
        <w:tc>
          <w:tcPr>
            <w:tcW w:w="1551" w:type="dxa"/>
          </w:tcPr>
          <w:p w:rsidR="005514EA" w:rsidRPr="002426A0" w:rsidRDefault="005514EA" w:rsidP="005514EA">
            <w:pPr>
              <w:jc w:val="right"/>
              <w:rPr>
                <w:b/>
              </w:rPr>
            </w:pPr>
            <w:r>
              <w:rPr>
                <w:b/>
              </w:rPr>
              <w:t>£1,460,970</w:t>
            </w:r>
          </w:p>
        </w:tc>
      </w:tr>
    </w:tbl>
    <w:p w:rsidR="006208B2" w:rsidRDefault="006208B2" w:rsidP="00340ABA">
      <w:pPr>
        <w:jc w:val="both"/>
        <w:rPr>
          <w:b/>
        </w:rPr>
      </w:pPr>
    </w:p>
    <w:p w:rsidR="00340ABA" w:rsidRDefault="00340ABA" w:rsidP="00340ABA">
      <w:pPr>
        <w:jc w:val="both"/>
        <w:rPr>
          <w:b/>
        </w:rPr>
      </w:pPr>
      <w:r w:rsidRPr="005C06BF">
        <w:rPr>
          <w:b/>
        </w:rPr>
        <w:t>Commissioning</w:t>
      </w:r>
    </w:p>
    <w:p w:rsidR="000101DF" w:rsidRDefault="002E4410" w:rsidP="009D19F6">
      <w:pPr>
        <w:ind w:left="720" w:hanging="720"/>
        <w:jc w:val="both"/>
      </w:pPr>
      <w:r>
        <w:t>4</w:t>
      </w:r>
      <w:r w:rsidR="00E71C8E">
        <w:t>.</w:t>
      </w:r>
      <w:r w:rsidR="00E71C8E">
        <w:tab/>
      </w:r>
      <w:r w:rsidR="006208B2">
        <w:t>Commissioning themes, which remain the same as in previous years, were selected to prioritise grant funding for those most disadvantaged communities in our city</w:t>
      </w:r>
      <w:r w:rsidR="009D19F6">
        <w:t xml:space="preserve"> and to reflect the themes in the Corporate Plan.</w:t>
      </w:r>
    </w:p>
    <w:p w:rsidR="00340ABA" w:rsidRDefault="00340ABA" w:rsidP="00340ABA">
      <w:pPr>
        <w:spacing w:after="0"/>
        <w:jc w:val="both"/>
        <w:rPr>
          <w:sz w:val="16"/>
          <w:szCs w:val="16"/>
        </w:rPr>
      </w:pPr>
    </w:p>
    <w:p w:rsidR="00E152A7" w:rsidRPr="007A42AF" w:rsidRDefault="002E4410" w:rsidP="006208B2">
      <w:pPr>
        <w:ind w:left="720" w:hanging="720"/>
        <w:jc w:val="both"/>
      </w:pPr>
      <w:r>
        <w:t>5</w:t>
      </w:r>
      <w:r w:rsidR="00E152A7">
        <w:t>.</w:t>
      </w:r>
      <w:r w:rsidR="00E152A7">
        <w:tab/>
      </w:r>
      <w:r w:rsidR="006208B2">
        <w:t xml:space="preserve">The Grants Officer works with a number of lead officers from other service areas that have </w:t>
      </w:r>
      <w:r w:rsidR="00896856">
        <w:t>specialist</w:t>
      </w:r>
      <w:r w:rsidR="006208B2">
        <w:t xml:space="preserve"> knowledge of specific commissioning themes.</w:t>
      </w:r>
      <w:r w:rsidR="008E5389">
        <w:t xml:space="preserve"> </w:t>
      </w:r>
      <w:r w:rsidR="006208B2">
        <w:t>Funding agreements will be put in place with each of the commissioned organisations and a feature of the agreement will be that funding in any given year will be subject to an assessment of performance.</w:t>
      </w:r>
    </w:p>
    <w:p w:rsidR="00E152A7" w:rsidRDefault="00E152A7" w:rsidP="00340ABA">
      <w:pPr>
        <w:spacing w:after="0"/>
        <w:jc w:val="both"/>
        <w:rPr>
          <w:sz w:val="16"/>
          <w:szCs w:val="16"/>
        </w:rPr>
      </w:pPr>
    </w:p>
    <w:p w:rsidR="00340ABA" w:rsidRPr="00F818CB" w:rsidRDefault="002E4410" w:rsidP="00340ABA">
      <w:pPr>
        <w:ind w:left="720" w:hanging="720"/>
        <w:jc w:val="both"/>
      </w:pPr>
      <w:r>
        <w:lastRenderedPageBreak/>
        <w:t>6</w:t>
      </w:r>
      <w:r w:rsidR="00340ABA">
        <w:t>.</w:t>
      </w:r>
      <w:r w:rsidR="00340ABA">
        <w:tab/>
        <w:t>This report recommends allocations for the 3 year commissioning programme ending 31 March 20</w:t>
      </w:r>
      <w:r w:rsidR="00FC2FE8">
        <w:t>21</w:t>
      </w:r>
      <w:r w:rsidR="00340ABA">
        <w:t>.</w:t>
      </w:r>
    </w:p>
    <w:p w:rsidR="00340ABA" w:rsidRDefault="00340ABA" w:rsidP="00340ABA">
      <w:pPr>
        <w:spacing w:after="0"/>
        <w:jc w:val="both"/>
      </w:pPr>
    </w:p>
    <w:p w:rsidR="0061444F" w:rsidRPr="00692D56" w:rsidRDefault="0061444F" w:rsidP="003B0D2D">
      <w:pPr>
        <w:jc w:val="both"/>
        <w:rPr>
          <w:b/>
        </w:rPr>
      </w:pPr>
      <w:r w:rsidRPr="00692D56">
        <w:rPr>
          <w:b/>
        </w:rPr>
        <w:t>Advice and Money Management</w:t>
      </w:r>
      <w:r w:rsidR="00692D56">
        <w:rPr>
          <w:b/>
        </w:rPr>
        <w:t xml:space="preserve"> Commissioning Theme</w:t>
      </w:r>
    </w:p>
    <w:p w:rsidR="006A6207" w:rsidRDefault="002E4410" w:rsidP="00403188">
      <w:pPr>
        <w:spacing w:after="0"/>
        <w:ind w:left="720" w:hanging="720"/>
        <w:jc w:val="both"/>
      </w:pPr>
      <w:r>
        <w:t>7</w:t>
      </w:r>
      <w:r w:rsidR="00403188">
        <w:t>.</w:t>
      </w:r>
      <w:r w:rsidR="00403188">
        <w:tab/>
      </w:r>
      <w:r w:rsidR="00177487">
        <w:t>Under</w:t>
      </w:r>
      <w:r w:rsidR="006A6207">
        <w:t xml:space="preserve"> </w:t>
      </w:r>
      <w:r w:rsidR="00177487">
        <w:t xml:space="preserve">this theme </w:t>
      </w:r>
      <w:r w:rsidR="00896DC0">
        <w:t>the City Executive Board are</w:t>
      </w:r>
      <w:r w:rsidR="006A6207">
        <w:t xml:space="preserve"> recommended to continue </w:t>
      </w:r>
      <w:r w:rsidR="00397064">
        <w:t>providing grant aid to</w:t>
      </w:r>
      <w:r w:rsidR="006A6207">
        <w:t xml:space="preserve"> the advice centres we currently </w:t>
      </w:r>
      <w:r w:rsidR="00B12ECA">
        <w:t>fund</w:t>
      </w:r>
      <w:r w:rsidR="006A6207">
        <w:t xml:space="preserve"> to provide independent </w:t>
      </w:r>
      <w:r w:rsidR="00177487">
        <w:t xml:space="preserve">advice </w:t>
      </w:r>
      <w:r w:rsidR="006A6207">
        <w:t>that supports</w:t>
      </w:r>
      <w:r w:rsidR="00177487">
        <w:t xml:space="preserve"> residents facing social and financial problems. </w:t>
      </w:r>
      <w:r w:rsidR="00D87708">
        <w:t>This follows the recommendation of an independent review of Oxford advice services commissioned earlier this year.</w:t>
      </w:r>
      <w:r w:rsidR="00DA3A25">
        <w:t xml:space="preserve"> Both the council and funded organisations have stated their commitment to delivering these recommendations.</w:t>
      </w:r>
    </w:p>
    <w:p w:rsidR="006A6207" w:rsidRPr="00383727" w:rsidRDefault="006A6207" w:rsidP="00340ABA">
      <w:pPr>
        <w:spacing w:after="0"/>
        <w:jc w:val="both"/>
        <w:rPr>
          <w:sz w:val="16"/>
          <w:szCs w:val="16"/>
          <w:vertAlign w:val="subscript"/>
        </w:rPr>
      </w:pPr>
    </w:p>
    <w:p w:rsidR="00165431" w:rsidRDefault="002E4410" w:rsidP="00403188">
      <w:pPr>
        <w:spacing w:after="0"/>
        <w:ind w:left="720" w:hanging="720"/>
        <w:jc w:val="both"/>
      </w:pPr>
      <w:r>
        <w:t>8</w:t>
      </w:r>
      <w:r w:rsidR="00403188">
        <w:t>.</w:t>
      </w:r>
      <w:r w:rsidR="00403188">
        <w:tab/>
      </w:r>
      <w:r w:rsidR="00177487">
        <w:t>The</w:t>
      </w:r>
      <w:r w:rsidR="006A6207">
        <w:t>ir</w:t>
      </w:r>
      <w:r w:rsidR="00177487">
        <w:t xml:space="preserve"> service specification</w:t>
      </w:r>
      <w:r w:rsidR="009D19F6">
        <w:t>s</w:t>
      </w:r>
      <w:r w:rsidR="00177487">
        <w:t xml:space="preserve"> will focus on </w:t>
      </w:r>
      <w:r w:rsidR="00D87708">
        <w:t>supporting the delivery of the Council</w:t>
      </w:r>
      <w:r w:rsidR="00D80DD3">
        <w:t>’</w:t>
      </w:r>
      <w:r w:rsidR="00D87708">
        <w:t xml:space="preserve">s Financial Inclusion Strategy which includes </w:t>
      </w:r>
      <w:r w:rsidR="00177487">
        <w:t xml:space="preserve">maximising client’s income, reducing and managing client debt and improving client’s skills in managing income and accessing services online. </w:t>
      </w:r>
    </w:p>
    <w:p w:rsidR="006A6207" w:rsidRPr="00383727" w:rsidRDefault="006A6207" w:rsidP="0071330A">
      <w:pPr>
        <w:pStyle w:val="NoSpacing"/>
        <w:spacing w:after="0"/>
        <w:rPr>
          <w:sz w:val="16"/>
          <w:szCs w:val="16"/>
        </w:rPr>
      </w:pPr>
    </w:p>
    <w:p w:rsidR="007B4683" w:rsidRDefault="002E4410" w:rsidP="00403188">
      <w:pPr>
        <w:pStyle w:val="NoSpacing"/>
        <w:spacing w:after="0"/>
        <w:ind w:left="720" w:hanging="720"/>
      </w:pPr>
      <w:r>
        <w:t>9</w:t>
      </w:r>
      <w:r w:rsidR="00403188">
        <w:t>.</w:t>
      </w:r>
      <w:r w:rsidR="00403188">
        <w:tab/>
      </w:r>
      <w:r w:rsidR="007B4683">
        <w:t>From April 2018 a</w:t>
      </w:r>
      <w:r w:rsidR="0016791C">
        <w:t>n annual</w:t>
      </w:r>
      <w:r w:rsidR="006A6207">
        <w:t xml:space="preserve"> funding pot of £44,918 has been created to support service development within the</w:t>
      </w:r>
      <w:r w:rsidR="0016791C">
        <w:t>se organisations</w:t>
      </w:r>
      <w:r w:rsidR="0071330A">
        <w:t xml:space="preserve">. </w:t>
      </w:r>
      <w:r w:rsidR="007B4683">
        <w:t xml:space="preserve">This </w:t>
      </w:r>
      <w:r w:rsidR="00DA3A25">
        <w:t>comprises</w:t>
      </w:r>
      <w:r w:rsidR="007B4683">
        <w:t xml:space="preserve"> 5% </w:t>
      </w:r>
      <w:r w:rsidR="00DA3A25">
        <w:t>of the funding that advice centres have received in previous years</w:t>
      </w:r>
      <w:r w:rsidR="007B4683">
        <w:t xml:space="preserve"> (£24,918 per annum)</w:t>
      </w:r>
      <w:r w:rsidR="00D80DD3">
        <w:t xml:space="preserve"> </w:t>
      </w:r>
      <w:r w:rsidR="009D19F6">
        <w:t>along with</w:t>
      </w:r>
      <w:r w:rsidR="007B4683">
        <w:t xml:space="preserve"> </w:t>
      </w:r>
      <w:r w:rsidR="00DA3A25">
        <w:t>an</w:t>
      </w:r>
      <w:r w:rsidR="00D87708">
        <w:t xml:space="preserve"> addition</w:t>
      </w:r>
      <w:r w:rsidR="00DA3A25">
        <w:t>al</w:t>
      </w:r>
      <w:r w:rsidR="00D87708">
        <w:t xml:space="preserve"> </w:t>
      </w:r>
      <w:r w:rsidR="007B4683">
        <w:t>£20,000 that was</w:t>
      </w:r>
      <w:r w:rsidR="00DA3A25">
        <w:t xml:space="preserve"> previously</w:t>
      </w:r>
      <w:r w:rsidR="007B4683">
        <w:t xml:space="preserve"> </w:t>
      </w:r>
      <w:r w:rsidR="00DA3A25">
        <w:t xml:space="preserve">allocated to other activity in this theme. Whereas other funders of advice services in </w:t>
      </w:r>
      <w:proofErr w:type="gramStart"/>
      <w:r w:rsidR="00DA3A25">
        <w:t>Oxford,</w:t>
      </w:r>
      <w:proofErr w:type="gramEnd"/>
      <w:r w:rsidR="00DA3A25">
        <w:t xml:space="preserve"> have cut their funding, the Council is investing in the sector by creating this development fund. </w:t>
      </w:r>
    </w:p>
    <w:p w:rsidR="007B4683" w:rsidRPr="00383727" w:rsidRDefault="007B4683" w:rsidP="0071330A">
      <w:pPr>
        <w:pStyle w:val="NoSpacing"/>
        <w:spacing w:after="0"/>
        <w:rPr>
          <w:sz w:val="16"/>
          <w:szCs w:val="16"/>
          <w:vertAlign w:val="subscript"/>
        </w:rPr>
      </w:pPr>
    </w:p>
    <w:p w:rsidR="0071330A" w:rsidRDefault="004468D0" w:rsidP="00403188">
      <w:pPr>
        <w:pStyle w:val="NoSpacing"/>
        <w:spacing w:after="0"/>
        <w:ind w:left="720" w:hanging="720"/>
      </w:pPr>
      <w:r>
        <w:t>1</w:t>
      </w:r>
      <w:r w:rsidR="002E4410">
        <w:t>0</w:t>
      </w:r>
      <w:r w:rsidR="00403188">
        <w:t>.</w:t>
      </w:r>
      <w:r w:rsidR="00403188">
        <w:tab/>
      </w:r>
      <w:r w:rsidR="00DA3A25">
        <w:t>The</w:t>
      </w:r>
      <w:r w:rsidR="00D87708">
        <w:t xml:space="preserve"> Development Fund will be available </w:t>
      </w:r>
      <w:r w:rsidR="00761529">
        <w:t>from April 2018</w:t>
      </w:r>
      <w:r w:rsidR="0016791C">
        <w:t xml:space="preserve"> </w:t>
      </w:r>
      <w:r w:rsidR="0071330A">
        <w:t xml:space="preserve">for commissioned </w:t>
      </w:r>
      <w:r w:rsidR="0016791C">
        <w:t xml:space="preserve">advice </w:t>
      </w:r>
      <w:r w:rsidR="0071330A">
        <w:t>services to make partnership bids in order to de</w:t>
      </w:r>
      <w:r w:rsidR="00D87708">
        <w:t xml:space="preserve">liver the recommendations of the report referenced in paragraph </w:t>
      </w:r>
      <w:r w:rsidR="00DA3A25">
        <w:t>7</w:t>
      </w:r>
      <w:r w:rsidR="00EC4E99">
        <w:t xml:space="preserve"> which includes:</w:t>
      </w:r>
      <w:r w:rsidR="00D87708">
        <w:t xml:space="preserve"> </w:t>
      </w:r>
    </w:p>
    <w:p w:rsidR="0071330A" w:rsidRPr="00383727" w:rsidRDefault="0071330A" w:rsidP="00017637">
      <w:pPr>
        <w:tabs>
          <w:tab w:val="left" w:pos="2160"/>
        </w:tabs>
        <w:spacing w:after="0"/>
        <w:rPr>
          <w:sz w:val="16"/>
          <w:szCs w:val="16"/>
          <w:vertAlign w:val="subscript"/>
        </w:rPr>
      </w:pPr>
    </w:p>
    <w:p w:rsidR="0071330A" w:rsidRPr="00A33D38" w:rsidRDefault="0071330A" w:rsidP="0071330A">
      <w:pPr>
        <w:numPr>
          <w:ilvl w:val="0"/>
          <w:numId w:val="41"/>
        </w:numPr>
        <w:spacing w:after="0"/>
        <w:ind w:left="1491" w:hanging="357"/>
      </w:pPr>
      <w:r w:rsidRPr="00A33D38">
        <w:t xml:space="preserve">Work to reduce visits which are not of value to the customer </w:t>
      </w:r>
    </w:p>
    <w:p w:rsidR="0071330A" w:rsidRPr="00A33D38" w:rsidRDefault="0071330A" w:rsidP="0071330A">
      <w:pPr>
        <w:numPr>
          <w:ilvl w:val="0"/>
          <w:numId w:val="41"/>
        </w:numPr>
        <w:spacing w:after="0"/>
        <w:ind w:left="1491" w:hanging="357"/>
      </w:pPr>
      <w:r w:rsidRPr="00A33D38">
        <w:t>Improving the outcomes obtained in the following areas:</w:t>
      </w:r>
    </w:p>
    <w:p w:rsidR="0071330A" w:rsidRPr="00A33D38" w:rsidRDefault="0071330A" w:rsidP="0071330A">
      <w:pPr>
        <w:numPr>
          <w:ilvl w:val="1"/>
          <w:numId w:val="41"/>
        </w:numPr>
        <w:spacing w:after="0"/>
        <w:ind w:left="2058" w:hanging="357"/>
      </w:pPr>
      <w:r w:rsidRPr="00A33D38">
        <w:t>Removing barriers to employment</w:t>
      </w:r>
    </w:p>
    <w:p w:rsidR="0071330A" w:rsidRPr="00A33D38" w:rsidRDefault="0071330A" w:rsidP="0071330A">
      <w:pPr>
        <w:numPr>
          <w:ilvl w:val="1"/>
          <w:numId w:val="41"/>
        </w:numPr>
        <w:spacing w:after="0"/>
        <w:ind w:left="2058" w:hanging="357"/>
      </w:pPr>
      <w:r w:rsidRPr="00A33D38">
        <w:t>Improving digital skills</w:t>
      </w:r>
    </w:p>
    <w:p w:rsidR="0071330A" w:rsidRPr="00A33D38" w:rsidRDefault="0071330A" w:rsidP="0071330A">
      <w:pPr>
        <w:numPr>
          <w:ilvl w:val="1"/>
          <w:numId w:val="41"/>
        </w:numPr>
        <w:spacing w:after="0"/>
        <w:ind w:left="2058" w:hanging="357"/>
      </w:pPr>
      <w:r w:rsidRPr="00A33D38">
        <w:t>Reducing fuel poverty</w:t>
      </w:r>
    </w:p>
    <w:p w:rsidR="0071330A" w:rsidRPr="00A33D38" w:rsidRDefault="0071330A" w:rsidP="0071330A">
      <w:pPr>
        <w:numPr>
          <w:ilvl w:val="0"/>
          <w:numId w:val="41"/>
        </w:numPr>
        <w:spacing w:after="0"/>
        <w:ind w:left="1491" w:hanging="357"/>
      </w:pPr>
      <w:r w:rsidRPr="00A33D38">
        <w:t>Improving access to advice services for areas of the city without local provision</w:t>
      </w:r>
    </w:p>
    <w:p w:rsidR="00DA3A25" w:rsidRDefault="0071330A" w:rsidP="00DA3A25">
      <w:pPr>
        <w:numPr>
          <w:ilvl w:val="0"/>
          <w:numId w:val="41"/>
        </w:numPr>
        <w:spacing w:after="0"/>
        <w:ind w:left="1491" w:hanging="357"/>
      </w:pPr>
      <w:r w:rsidRPr="00A33D38">
        <w:t>Developing digital advice services</w:t>
      </w:r>
    </w:p>
    <w:p w:rsidR="00DA3A25" w:rsidRPr="00A33D38" w:rsidRDefault="00DA3A25" w:rsidP="00DA3A25">
      <w:pPr>
        <w:spacing w:after="0"/>
        <w:ind w:left="720"/>
      </w:pPr>
    </w:p>
    <w:p w:rsidR="004A4655" w:rsidRDefault="002E4410" w:rsidP="00403188">
      <w:pPr>
        <w:pStyle w:val="NoSpacing"/>
        <w:ind w:left="720" w:hanging="720"/>
      </w:pPr>
      <w:r>
        <w:t>11</w:t>
      </w:r>
      <w:r w:rsidR="00403188">
        <w:t>.</w:t>
      </w:r>
      <w:r w:rsidR="00403188">
        <w:tab/>
      </w:r>
      <w:r w:rsidR="00896DC0">
        <w:t xml:space="preserve">Along with the recommendation in paragraph </w:t>
      </w:r>
      <w:r w:rsidR="00403188">
        <w:t>9</w:t>
      </w:r>
      <w:r w:rsidR="008E5389">
        <w:t>,</w:t>
      </w:r>
      <w:r w:rsidR="00896DC0">
        <w:t xml:space="preserve"> t</w:t>
      </w:r>
      <w:r w:rsidR="004A4655">
        <w:t xml:space="preserve">he City Executive Board </w:t>
      </w:r>
      <w:proofErr w:type="gramStart"/>
      <w:r w:rsidR="00896DC0">
        <w:t>are</w:t>
      </w:r>
      <w:proofErr w:type="gramEnd"/>
      <w:r w:rsidR="00896DC0">
        <w:t xml:space="preserve"> </w:t>
      </w:r>
      <w:r w:rsidR="004A4655">
        <w:t>requested to delegate authority to the Executive Director for Organisational Development and Corporate Services in consultation with the Executive Members for Customer and Corporate Services and Culture and Community to allocate</w:t>
      </w:r>
      <w:r w:rsidR="00680011">
        <w:t xml:space="preserve"> the funding</w:t>
      </w:r>
      <w:r w:rsidR="004A4655">
        <w:t>.</w:t>
      </w:r>
    </w:p>
    <w:p w:rsidR="0071330A" w:rsidRPr="00383727" w:rsidRDefault="0071330A" w:rsidP="0071330A">
      <w:pPr>
        <w:tabs>
          <w:tab w:val="left" w:pos="1168"/>
        </w:tabs>
        <w:spacing w:after="0"/>
        <w:jc w:val="both"/>
        <w:rPr>
          <w:b/>
          <w:sz w:val="16"/>
          <w:szCs w:val="16"/>
        </w:rPr>
      </w:pPr>
    </w:p>
    <w:p w:rsidR="0071330A" w:rsidRPr="00692D56" w:rsidRDefault="0071330A" w:rsidP="003B0D2D">
      <w:pPr>
        <w:jc w:val="both"/>
        <w:rPr>
          <w:b/>
        </w:rPr>
      </w:pPr>
      <w:r w:rsidRPr="00692D56">
        <w:rPr>
          <w:b/>
        </w:rPr>
        <w:t>Community Safety Commissioning Theme</w:t>
      </w:r>
    </w:p>
    <w:p w:rsidR="00692D56" w:rsidRDefault="00123A27" w:rsidP="00123A27">
      <w:pPr>
        <w:spacing w:after="0"/>
        <w:ind w:left="720" w:hanging="720"/>
        <w:jc w:val="both"/>
      </w:pPr>
      <w:r>
        <w:t>1</w:t>
      </w:r>
      <w:r w:rsidR="002E4410">
        <w:t>2</w:t>
      </w:r>
      <w:r>
        <w:tab/>
      </w:r>
      <w:r w:rsidR="00F06373">
        <w:t>During the past year a working group has been developed to look at how abuse services will be delivered across Oxfordshire. The group is made up of representatives from Oxford City Council, District Councils, Oxfordshire County Council and the Office of Police and Crime Commissioning.</w:t>
      </w:r>
    </w:p>
    <w:p w:rsidR="00F06373" w:rsidRPr="00383727" w:rsidRDefault="00F06373" w:rsidP="00340ABA">
      <w:pPr>
        <w:spacing w:after="0"/>
        <w:jc w:val="both"/>
        <w:rPr>
          <w:sz w:val="16"/>
          <w:szCs w:val="16"/>
        </w:rPr>
      </w:pPr>
    </w:p>
    <w:p w:rsidR="00692D56" w:rsidRDefault="004468D0" w:rsidP="00123A27">
      <w:pPr>
        <w:spacing w:after="0"/>
        <w:ind w:left="720" w:hanging="720"/>
        <w:jc w:val="both"/>
      </w:pPr>
      <w:r>
        <w:lastRenderedPageBreak/>
        <w:t>1</w:t>
      </w:r>
      <w:r w:rsidR="002E4410">
        <w:t>3</w:t>
      </w:r>
      <w:r w:rsidR="00123A27">
        <w:tab/>
      </w:r>
      <w:r w:rsidR="00F06373">
        <w:t xml:space="preserve">From April 2018 </w:t>
      </w:r>
      <w:r w:rsidR="00B716EE">
        <w:t xml:space="preserve">Oxfordshire County Council will commission </w:t>
      </w:r>
      <w:r w:rsidR="005423FA">
        <w:t>a domestic abuse</w:t>
      </w:r>
      <w:r w:rsidR="00B716EE">
        <w:t xml:space="preserve"> service on behalf of the working group. A budget of £600,000 has been created to deliver this service across the County.</w:t>
      </w:r>
    </w:p>
    <w:p w:rsidR="00C74C55" w:rsidRDefault="00C74C55" w:rsidP="00340ABA">
      <w:pPr>
        <w:spacing w:after="0"/>
        <w:jc w:val="both"/>
      </w:pPr>
    </w:p>
    <w:p w:rsidR="00692D56" w:rsidRDefault="002E4410" w:rsidP="00123A27">
      <w:pPr>
        <w:spacing w:after="0"/>
        <w:ind w:left="720" w:hanging="720"/>
        <w:jc w:val="both"/>
      </w:pPr>
      <w:r>
        <w:t>14</w:t>
      </w:r>
      <w:r w:rsidR="00123A27">
        <w:tab/>
      </w:r>
      <w:r w:rsidR="00B716EE">
        <w:t xml:space="preserve">Our contribution </w:t>
      </w:r>
      <w:r w:rsidR="005423FA">
        <w:t>is</w:t>
      </w:r>
      <w:r w:rsidR="00B716EE">
        <w:t xml:space="preserve"> £</w:t>
      </w:r>
      <w:r w:rsidR="005423FA">
        <w:t xml:space="preserve">35,082 which will deliver </w:t>
      </w:r>
      <w:r w:rsidR="00D80DD3">
        <w:t xml:space="preserve">an outreach service </w:t>
      </w:r>
      <w:r w:rsidR="005423FA">
        <w:t xml:space="preserve">for Oxford, a helpline and 5 dispersed accommodation places for victims who are unable to access a refuge such as males, disabled people or someone who does not speak English.  There will also be a complex needs service which will provide </w:t>
      </w:r>
      <w:r w:rsidR="00D80DD3">
        <w:t>one-to-one</w:t>
      </w:r>
      <w:r w:rsidR="005423FA">
        <w:t xml:space="preserve"> support to help </w:t>
      </w:r>
      <w:r w:rsidR="00D80DD3">
        <w:t xml:space="preserve">people </w:t>
      </w:r>
      <w:r w:rsidR="005423FA">
        <w:t xml:space="preserve">move on to a safer environment. </w:t>
      </w:r>
    </w:p>
    <w:p w:rsidR="00C42AD4" w:rsidRPr="00383727" w:rsidRDefault="00C42AD4" w:rsidP="00340ABA">
      <w:pPr>
        <w:spacing w:after="0"/>
        <w:jc w:val="both"/>
        <w:rPr>
          <w:b/>
          <w:sz w:val="16"/>
          <w:szCs w:val="16"/>
          <w:vertAlign w:val="subscript"/>
        </w:rPr>
      </w:pPr>
    </w:p>
    <w:p w:rsidR="0061444F" w:rsidRPr="00692D56" w:rsidRDefault="0061444F" w:rsidP="003B0D2D">
      <w:pPr>
        <w:jc w:val="both"/>
        <w:rPr>
          <w:b/>
        </w:rPr>
      </w:pPr>
      <w:r w:rsidRPr="00692D56">
        <w:rPr>
          <w:b/>
        </w:rPr>
        <w:t>Community and Voluntary Sector Infrastructure Support</w:t>
      </w:r>
      <w:r w:rsidR="00692D56" w:rsidRPr="00692D56">
        <w:rPr>
          <w:b/>
        </w:rPr>
        <w:t xml:space="preserve"> Commissioning Theme</w:t>
      </w:r>
    </w:p>
    <w:p w:rsidR="00C42AD4" w:rsidRDefault="00123A27" w:rsidP="00123A27">
      <w:pPr>
        <w:pStyle w:val="BBCText"/>
        <w:ind w:left="720" w:hanging="720"/>
        <w:rPr>
          <w:rFonts w:ascii="Arial" w:hAnsi="Arial" w:cs="Arial"/>
        </w:rPr>
      </w:pPr>
      <w:r>
        <w:rPr>
          <w:rFonts w:ascii="Arial" w:hAnsi="Arial" w:cs="Arial"/>
        </w:rPr>
        <w:t>1</w:t>
      </w:r>
      <w:r w:rsidR="002E4410">
        <w:rPr>
          <w:rFonts w:ascii="Arial" w:hAnsi="Arial" w:cs="Arial"/>
        </w:rPr>
        <w:t>5</w:t>
      </w:r>
      <w:r>
        <w:rPr>
          <w:rFonts w:ascii="Arial" w:hAnsi="Arial" w:cs="Arial"/>
        </w:rPr>
        <w:tab/>
      </w:r>
      <w:r w:rsidR="00C16568" w:rsidRPr="00C42AD4">
        <w:rPr>
          <w:rFonts w:ascii="Arial" w:hAnsi="Arial" w:cs="Arial"/>
        </w:rPr>
        <w:t>This commissioning theme is currently out to open bidding</w:t>
      </w:r>
      <w:r w:rsidR="00D80DD3">
        <w:rPr>
          <w:rFonts w:ascii="Arial" w:hAnsi="Arial" w:cs="Arial"/>
        </w:rPr>
        <w:t>,</w:t>
      </w:r>
      <w:r w:rsidR="00C16568" w:rsidRPr="00C42AD4">
        <w:rPr>
          <w:rFonts w:ascii="Arial" w:hAnsi="Arial" w:cs="Arial"/>
        </w:rPr>
        <w:t xml:space="preserve"> requesting bids from organisations who can provide </w:t>
      </w:r>
      <w:r w:rsidR="00C42AD4">
        <w:rPr>
          <w:rFonts w:ascii="Arial" w:hAnsi="Arial" w:cs="Arial"/>
        </w:rPr>
        <w:t xml:space="preserve">support to Oxford based community and voluntary organisations to gain </w:t>
      </w:r>
      <w:r w:rsidR="00C42AD4" w:rsidRPr="00C42AD4">
        <w:rPr>
          <w:rFonts w:ascii="Arial" w:hAnsi="Arial" w:cs="Arial"/>
        </w:rPr>
        <w:t>sustainability in their funding</w:t>
      </w:r>
      <w:r w:rsidR="00C42AD4">
        <w:rPr>
          <w:rFonts w:ascii="Arial" w:hAnsi="Arial" w:cs="Arial"/>
        </w:rPr>
        <w:t>,</w:t>
      </w:r>
      <w:r w:rsidR="00C42AD4" w:rsidRPr="00C42AD4">
        <w:rPr>
          <w:rFonts w:ascii="Arial" w:hAnsi="Arial" w:cs="Arial"/>
        </w:rPr>
        <w:t xml:space="preserve"> attract and effectively manage volunteers</w:t>
      </w:r>
      <w:r w:rsidR="00C42AD4">
        <w:rPr>
          <w:rFonts w:ascii="Arial" w:hAnsi="Arial" w:cs="Arial"/>
        </w:rPr>
        <w:t xml:space="preserve">, </w:t>
      </w:r>
      <w:r w:rsidR="00C42AD4" w:rsidRPr="00C42AD4">
        <w:rPr>
          <w:rFonts w:ascii="Arial" w:hAnsi="Arial" w:cs="Arial"/>
        </w:rPr>
        <w:t>build their capacity and achieve good governance</w:t>
      </w:r>
      <w:r w:rsidR="00D80DD3">
        <w:rPr>
          <w:rFonts w:ascii="Arial" w:hAnsi="Arial" w:cs="Arial"/>
        </w:rPr>
        <w:t>.</w:t>
      </w:r>
    </w:p>
    <w:p w:rsidR="00C42AD4" w:rsidRPr="00383727" w:rsidRDefault="00C42AD4" w:rsidP="00C42AD4">
      <w:pPr>
        <w:pStyle w:val="BBCText"/>
        <w:rPr>
          <w:rFonts w:ascii="Arial" w:hAnsi="Arial" w:cs="Arial"/>
          <w:sz w:val="16"/>
          <w:szCs w:val="16"/>
        </w:rPr>
      </w:pPr>
    </w:p>
    <w:p w:rsidR="00C42AD4" w:rsidRDefault="00123A27" w:rsidP="00123A27">
      <w:pPr>
        <w:pStyle w:val="NoSpacing"/>
        <w:ind w:left="720" w:hanging="720"/>
      </w:pPr>
      <w:r>
        <w:t>1</w:t>
      </w:r>
      <w:r w:rsidR="002E4410">
        <w:t>6</w:t>
      </w:r>
      <w:r>
        <w:tab/>
      </w:r>
      <w:r w:rsidR="00C42AD4">
        <w:t>The City Executive Board are requested to delegate authority to the Head of Community Services in consultation with the Executive Members for Customer and Corporate Services and Culture and Community to allocate funding for this theme.</w:t>
      </w:r>
    </w:p>
    <w:p w:rsidR="0061444F" w:rsidRPr="00383727" w:rsidRDefault="0061444F" w:rsidP="00340ABA">
      <w:pPr>
        <w:spacing w:after="0"/>
        <w:jc w:val="both"/>
        <w:rPr>
          <w:sz w:val="16"/>
          <w:szCs w:val="16"/>
        </w:rPr>
      </w:pPr>
    </w:p>
    <w:p w:rsidR="0061444F" w:rsidRPr="00692D56" w:rsidRDefault="0061444F" w:rsidP="003B0D2D">
      <w:pPr>
        <w:jc w:val="both"/>
        <w:rPr>
          <w:b/>
        </w:rPr>
      </w:pPr>
      <w:r w:rsidRPr="00692D56">
        <w:rPr>
          <w:b/>
        </w:rPr>
        <w:t>Homelessness</w:t>
      </w:r>
      <w:r w:rsidR="00692D56" w:rsidRPr="00692D56">
        <w:rPr>
          <w:b/>
        </w:rPr>
        <w:t xml:space="preserve"> Commissioning Theme</w:t>
      </w:r>
    </w:p>
    <w:p w:rsidR="0061444F" w:rsidRDefault="002E4410" w:rsidP="00123A27">
      <w:pPr>
        <w:spacing w:after="0"/>
        <w:ind w:left="720" w:hanging="720"/>
        <w:jc w:val="both"/>
      </w:pPr>
      <w:r>
        <w:t>17</w:t>
      </w:r>
      <w:r w:rsidR="00123A27">
        <w:tab/>
      </w:r>
      <w:r w:rsidR="00692D56">
        <w:t>A report will be submitted to the City Executive Board in March 2018 with the proposed allocations for both the Preventing Homelessness grant and the Council’s Homelessness grant commissioning budget to voluntary sector organisations</w:t>
      </w:r>
    </w:p>
    <w:p w:rsidR="00BB446C" w:rsidRPr="00383727" w:rsidRDefault="00BB446C" w:rsidP="00340ABA">
      <w:pPr>
        <w:spacing w:after="0"/>
        <w:jc w:val="both"/>
        <w:rPr>
          <w:sz w:val="16"/>
          <w:szCs w:val="16"/>
        </w:rPr>
      </w:pPr>
    </w:p>
    <w:p w:rsidR="0061444F" w:rsidRPr="00692D56" w:rsidRDefault="0061444F" w:rsidP="003B0D2D">
      <w:pPr>
        <w:jc w:val="both"/>
        <w:rPr>
          <w:b/>
        </w:rPr>
      </w:pPr>
      <w:r w:rsidRPr="00692D56">
        <w:rPr>
          <w:b/>
        </w:rPr>
        <w:t>Inclusive Arts and Culture</w:t>
      </w:r>
      <w:r w:rsidR="00692D56" w:rsidRPr="00692D56">
        <w:rPr>
          <w:b/>
        </w:rPr>
        <w:t xml:space="preserve"> Commissioning Theme</w:t>
      </w:r>
    </w:p>
    <w:p w:rsidR="00EF2EAB" w:rsidRDefault="004468D0" w:rsidP="00123A27">
      <w:pPr>
        <w:spacing w:after="0"/>
        <w:ind w:left="720" w:hanging="720"/>
        <w:jc w:val="both"/>
      </w:pPr>
      <w:r>
        <w:t>1</w:t>
      </w:r>
      <w:r w:rsidR="002E4410">
        <w:t>8</w:t>
      </w:r>
      <w:r w:rsidR="00123A27">
        <w:tab/>
      </w:r>
      <w:r w:rsidR="00EF2EAB">
        <w:t>For the financial year 2018/19</w:t>
      </w:r>
      <w:r w:rsidR="008E5389">
        <w:t>,</w:t>
      </w:r>
      <w:r w:rsidR="00EF2EAB">
        <w:t xml:space="preserve"> it is recommended to continue funding the arts and culture organisations we have funded during the previous grants cycle and use this year to work with them to prepare for an open bidding process to </w:t>
      </w:r>
      <w:r w:rsidR="00896856">
        <w:t xml:space="preserve">which they will have the opportunity to </w:t>
      </w:r>
      <w:r w:rsidR="00EF2EAB">
        <w:t>apply for two year funding from April 2019.</w:t>
      </w:r>
    </w:p>
    <w:p w:rsidR="00896856" w:rsidRPr="00383727" w:rsidRDefault="00896856" w:rsidP="00020C9E">
      <w:pPr>
        <w:spacing w:after="0"/>
        <w:jc w:val="both"/>
        <w:rPr>
          <w:sz w:val="16"/>
          <w:szCs w:val="16"/>
          <w:vertAlign w:val="subscript"/>
        </w:rPr>
      </w:pPr>
    </w:p>
    <w:p w:rsidR="00340ABA" w:rsidRPr="005C06BF" w:rsidRDefault="002E4410" w:rsidP="00123A27">
      <w:pPr>
        <w:spacing w:after="0"/>
        <w:ind w:left="720" w:hanging="720"/>
        <w:jc w:val="both"/>
      </w:pPr>
      <w:r>
        <w:t>19</w:t>
      </w:r>
      <w:r w:rsidR="00123A27">
        <w:tab/>
      </w:r>
      <w:r w:rsidR="00340ABA">
        <w:t>The City Executive Board is recommended to appr</w:t>
      </w:r>
      <w:r w:rsidR="00896856">
        <w:t>ove the recommendations for the c</w:t>
      </w:r>
      <w:r w:rsidR="00340ABA">
        <w:t xml:space="preserve">ommissioning programme as listed in </w:t>
      </w:r>
      <w:r w:rsidR="00340ABA" w:rsidRPr="005C06BF">
        <w:t>App</w:t>
      </w:r>
      <w:r w:rsidR="00896DC0">
        <w:t>endices 1 and 2</w:t>
      </w:r>
      <w:r w:rsidR="005514EA">
        <w:t xml:space="preserve"> and to delegate authority to the Head of Service for Community Services, in consultation with the Executive Member for Culture and Communities, to allocate funding to art and culture organisations that apply for funding through this theme from April 2019.</w:t>
      </w:r>
    </w:p>
    <w:p w:rsidR="00340ABA" w:rsidRPr="00383727" w:rsidRDefault="00340ABA" w:rsidP="00340ABA">
      <w:pPr>
        <w:spacing w:after="0"/>
        <w:jc w:val="both"/>
        <w:rPr>
          <w:sz w:val="16"/>
          <w:szCs w:val="16"/>
        </w:rPr>
      </w:pPr>
    </w:p>
    <w:p w:rsidR="00340ABA" w:rsidRDefault="00340ABA" w:rsidP="00340ABA">
      <w:pPr>
        <w:jc w:val="both"/>
        <w:rPr>
          <w:b/>
        </w:rPr>
      </w:pPr>
      <w:r w:rsidRPr="005C06BF">
        <w:rPr>
          <w:b/>
        </w:rPr>
        <w:t>Annual Open Bidding</w:t>
      </w:r>
    </w:p>
    <w:p w:rsidR="005B3235" w:rsidRDefault="00123A27" w:rsidP="00123A27">
      <w:pPr>
        <w:spacing w:after="0"/>
        <w:ind w:left="720" w:hanging="720"/>
        <w:jc w:val="both"/>
      </w:pPr>
      <w:r>
        <w:t>2</w:t>
      </w:r>
      <w:r w:rsidR="002E4410">
        <w:t>0</w:t>
      </w:r>
      <w:r>
        <w:tab/>
      </w:r>
      <w:r w:rsidR="009C5B17">
        <w:t xml:space="preserve">Generally </w:t>
      </w:r>
      <w:r w:rsidR="000E0D7A">
        <w:t xml:space="preserve">we would also include in this report </w:t>
      </w:r>
      <w:r w:rsidR="009C5B17">
        <w:t xml:space="preserve">recommendations for applications received to the annual open bidding grants programme. </w:t>
      </w:r>
      <w:r w:rsidR="000E0D7A">
        <w:t xml:space="preserve">Due to the review of the grants programme that took place earlier in the year </w:t>
      </w:r>
      <w:r w:rsidR="009C5B17">
        <w:t>the opening of this programme was delayed</w:t>
      </w:r>
      <w:r w:rsidR="000E0D7A">
        <w:t xml:space="preserve"> and at the time of writing this report </w:t>
      </w:r>
      <w:r w:rsidR="005313F0">
        <w:t xml:space="preserve">this report the </w:t>
      </w:r>
      <w:r w:rsidR="00C74C55">
        <w:t xml:space="preserve">open bidding grants </w:t>
      </w:r>
      <w:r w:rsidR="005313F0">
        <w:t>programme is currently open with a closing date of the 8</w:t>
      </w:r>
      <w:r w:rsidR="005313F0" w:rsidRPr="005313F0">
        <w:rPr>
          <w:vertAlign w:val="superscript"/>
        </w:rPr>
        <w:t>th</w:t>
      </w:r>
      <w:r w:rsidR="005313F0">
        <w:t xml:space="preserve"> February 2018.  The officer grant</w:t>
      </w:r>
      <w:r w:rsidR="00CF33DF">
        <w:t>s</w:t>
      </w:r>
      <w:r w:rsidR="005313F0">
        <w:t xml:space="preserve"> panel are due to meet for the evaluation process from the week commencing 20 February 2018.</w:t>
      </w:r>
    </w:p>
    <w:p w:rsidR="005B3235" w:rsidRPr="00383727" w:rsidRDefault="005B3235" w:rsidP="005313F0">
      <w:pPr>
        <w:spacing w:after="0"/>
        <w:jc w:val="both"/>
        <w:rPr>
          <w:sz w:val="16"/>
          <w:szCs w:val="16"/>
        </w:rPr>
      </w:pPr>
    </w:p>
    <w:p w:rsidR="00FA43B2" w:rsidRDefault="00123A27" w:rsidP="00123A27">
      <w:pPr>
        <w:spacing w:after="0"/>
        <w:ind w:left="720" w:hanging="720"/>
        <w:jc w:val="both"/>
      </w:pPr>
      <w:r>
        <w:t>2</w:t>
      </w:r>
      <w:r w:rsidR="002E4410">
        <w:t>1</w:t>
      </w:r>
      <w:r>
        <w:tab/>
      </w:r>
      <w:r w:rsidR="000E0D7A">
        <w:t>We are promoting</w:t>
      </w:r>
      <w:r w:rsidR="00CF33DF">
        <w:t xml:space="preserve"> the programme as wide</w:t>
      </w:r>
      <w:r w:rsidR="00361247">
        <w:t>ly</w:t>
      </w:r>
      <w:r w:rsidR="00CF33DF">
        <w:t xml:space="preserve"> as possible</w:t>
      </w:r>
      <w:r w:rsidR="000E0D7A">
        <w:t xml:space="preserve"> through a social media campaign and by displaying </w:t>
      </w:r>
      <w:r w:rsidR="00FA43B2">
        <w:t>leaflets in noticeboards and community centres</w:t>
      </w:r>
      <w:r w:rsidR="000E0D7A">
        <w:t xml:space="preserve"> </w:t>
      </w:r>
      <w:r w:rsidR="000E0D7A">
        <w:lastRenderedPageBreak/>
        <w:t xml:space="preserve">informing the public about the programme. </w:t>
      </w:r>
      <w:r w:rsidR="00361247">
        <w:t xml:space="preserve">We </w:t>
      </w:r>
      <w:r w:rsidR="000E0D7A">
        <w:t>are</w:t>
      </w:r>
      <w:r w:rsidR="00361247">
        <w:t xml:space="preserve"> also promot</w:t>
      </w:r>
      <w:r w:rsidR="000E0D7A">
        <w:t>ing</w:t>
      </w:r>
      <w:r w:rsidR="00361247">
        <w:t xml:space="preserve"> the programme through our community networks.</w:t>
      </w:r>
    </w:p>
    <w:p w:rsidR="00FA43B2" w:rsidRPr="00383727" w:rsidRDefault="00FA43B2" w:rsidP="00FA43B2">
      <w:pPr>
        <w:spacing w:after="0"/>
        <w:jc w:val="both"/>
        <w:rPr>
          <w:sz w:val="16"/>
          <w:szCs w:val="16"/>
        </w:rPr>
      </w:pPr>
    </w:p>
    <w:p w:rsidR="00CF33DF" w:rsidRDefault="00123A27" w:rsidP="00123A27">
      <w:pPr>
        <w:spacing w:after="0"/>
        <w:ind w:left="720" w:hanging="720"/>
        <w:jc w:val="both"/>
      </w:pPr>
      <w:r>
        <w:t>2</w:t>
      </w:r>
      <w:r w:rsidR="002E4410">
        <w:t>2</w:t>
      </w:r>
      <w:r>
        <w:tab/>
      </w:r>
      <w:r w:rsidR="00C74C55">
        <w:t>To enable grant funding</w:t>
      </w:r>
      <w:r w:rsidR="00CF33DF">
        <w:t xml:space="preserve"> to </w:t>
      </w:r>
      <w:r w:rsidR="00C74C55">
        <w:t xml:space="preserve">be </w:t>
      </w:r>
      <w:r w:rsidR="00CF33DF">
        <w:t>award</w:t>
      </w:r>
      <w:r w:rsidR="00C74C55">
        <w:t xml:space="preserve">ed through this programme and </w:t>
      </w:r>
      <w:r w:rsidR="00CF33DF">
        <w:t xml:space="preserve">paid out at the beginning of the new financial year the City Executive Board are requested to delegate authority </w:t>
      </w:r>
      <w:r w:rsidR="00CF33DF">
        <w:rPr>
          <w:rStyle w:val="Firstpagetablebold"/>
          <w:b w:val="0"/>
        </w:rPr>
        <w:t>to the Head of Community Services</w:t>
      </w:r>
      <w:r w:rsidR="00361247">
        <w:rPr>
          <w:rStyle w:val="Firstpagetablebold"/>
          <w:b w:val="0"/>
        </w:rPr>
        <w:t>,</w:t>
      </w:r>
      <w:r w:rsidR="00CF33DF">
        <w:rPr>
          <w:rStyle w:val="Firstpagetablebold"/>
          <w:b w:val="0"/>
        </w:rPr>
        <w:t xml:space="preserve"> in consultation with the Executive Members for Customer and Corporate Services and Culture and Communities</w:t>
      </w:r>
      <w:r w:rsidR="00361247">
        <w:rPr>
          <w:rStyle w:val="Firstpagetablebold"/>
          <w:b w:val="0"/>
        </w:rPr>
        <w:t>,</w:t>
      </w:r>
      <w:r w:rsidR="00CF33DF">
        <w:rPr>
          <w:rStyle w:val="Firstpagetablebold"/>
          <w:b w:val="0"/>
        </w:rPr>
        <w:t xml:space="preserve"> to approve</w:t>
      </w:r>
      <w:r w:rsidR="00CF33DF" w:rsidRPr="00340ABA">
        <w:rPr>
          <w:rStyle w:val="Firstpagetablebold"/>
          <w:b w:val="0"/>
        </w:rPr>
        <w:t xml:space="preserve"> the recommendations for applications received to the grants open bidding programme</w:t>
      </w:r>
      <w:r w:rsidR="00552728">
        <w:rPr>
          <w:rStyle w:val="Firstpagetablebold"/>
          <w:b w:val="0"/>
        </w:rPr>
        <w:t>.  This will include applications made for one year and three year funding.</w:t>
      </w:r>
    </w:p>
    <w:p w:rsidR="00123A27" w:rsidRPr="00383727" w:rsidRDefault="00123A27" w:rsidP="00340ABA">
      <w:pPr>
        <w:ind w:left="720" w:hanging="720"/>
        <w:jc w:val="both"/>
        <w:rPr>
          <w:sz w:val="16"/>
          <w:szCs w:val="16"/>
        </w:rPr>
      </w:pPr>
    </w:p>
    <w:p w:rsidR="00340ABA" w:rsidRPr="00CA2B2F" w:rsidRDefault="00340ABA" w:rsidP="00340ABA">
      <w:pPr>
        <w:jc w:val="both"/>
        <w:rPr>
          <w:b/>
        </w:rPr>
      </w:pPr>
      <w:r w:rsidRPr="00CA2B2F">
        <w:rPr>
          <w:b/>
        </w:rPr>
        <w:t>Rents</w:t>
      </w:r>
      <w:r>
        <w:rPr>
          <w:b/>
        </w:rPr>
        <w:t xml:space="preserve"> </w:t>
      </w:r>
    </w:p>
    <w:p w:rsidR="00340ABA" w:rsidRDefault="00123A27" w:rsidP="00340ABA">
      <w:pPr>
        <w:ind w:left="720" w:hanging="720"/>
        <w:jc w:val="both"/>
      </w:pPr>
      <w:r>
        <w:t>2</w:t>
      </w:r>
      <w:r w:rsidR="002E4410">
        <w:t>3</w:t>
      </w:r>
      <w:r w:rsidR="00340ABA" w:rsidRPr="005C06BF">
        <w:t>.</w:t>
      </w:r>
      <w:r w:rsidR="00340ABA" w:rsidRPr="005C06BF">
        <w:tab/>
        <w:t xml:space="preserve">Some organisations recommended </w:t>
      </w:r>
      <w:r w:rsidR="00552728">
        <w:t>through the commissioning programme</w:t>
      </w:r>
      <w:r w:rsidR="00340ABA" w:rsidRPr="005C06BF">
        <w:t xml:space="preserve"> occupy Council premises</w:t>
      </w:r>
      <w:r w:rsidR="00340ABA">
        <w:t>. T</w:t>
      </w:r>
      <w:r w:rsidR="00340ABA" w:rsidRPr="005C06BF">
        <w:t xml:space="preserve">heir rent will be deducted from </w:t>
      </w:r>
      <w:r w:rsidR="00340ABA">
        <w:t>any funding awarded to them</w:t>
      </w:r>
      <w:r w:rsidR="00340ABA" w:rsidRPr="005C06BF">
        <w:t xml:space="preserve">.  </w:t>
      </w:r>
      <w:r w:rsidR="00340ABA">
        <w:t>These are set out in Table 2 below.</w:t>
      </w:r>
    </w:p>
    <w:p w:rsidR="00340ABA" w:rsidRPr="00383727" w:rsidRDefault="00340ABA" w:rsidP="00FA37E0">
      <w:pPr>
        <w:spacing w:after="0"/>
        <w:jc w:val="both"/>
        <w:rPr>
          <w:b/>
          <w:sz w:val="16"/>
          <w:szCs w:val="16"/>
        </w:rPr>
      </w:pPr>
    </w:p>
    <w:p w:rsidR="00340ABA" w:rsidRDefault="00340ABA" w:rsidP="00340ABA">
      <w:pPr>
        <w:jc w:val="both"/>
        <w:rPr>
          <w:b/>
        </w:rPr>
      </w:pPr>
      <w:r w:rsidRPr="005C06BF">
        <w:rPr>
          <w:b/>
        </w:rPr>
        <w:t xml:space="preserve">Table </w:t>
      </w:r>
      <w:r>
        <w:rPr>
          <w:b/>
        </w:rPr>
        <w:t>2</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1418"/>
        <w:gridCol w:w="1559"/>
        <w:gridCol w:w="1701"/>
      </w:tblGrid>
      <w:tr w:rsidR="00552728" w:rsidRPr="002426A0" w:rsidTr="00552728">
        <w:tc>
          <w:tcPr>
            <w:tcW w:w="4644" w:type="dxa"/>
            <w:shd w:val="clear" w:color="auto" w:fill="auto"/>
          </w:tcPr>
          <w:p w:rsidR="00552728" w:rsidRPr="002426A0" w:rsidRDefault="00552728" w:rsidP="004263B3">
            <w:pPr>
              <w:jc w:val="both"/>
              <w:rPr>
                <w:b/>
              </w:rPr>
            </w:pPr>
            <w:r w:rsidRPr="002426A0">
              <w:rPr>
                <w:b/>
              </w:rPr>
              <w:t>Organisation</w:t>
            </w:r>
          </w:p>
        </w:tc>
        <w:tc>
          <w:tcPr>
            <w:tcW w:w="1418" w:type="dxa"/>
            <w:shd w:val="clear" w:color="auto" w:fill="auto"/>
          </w:tcPr>
          <w:p w:rsidR="00552728" w:rsidRDefault="00680011" w:rsidP="004263B3">
            <w:pPr>
              <w:jc w:val="center"/>
              <w:rPr>
                <w:b/>
              </w:rPr>
            </w:pPr>
            <w:proofErr w:type="spellStart"/>
            <w:r>
              <w:rPr>
                <w:b/>
              </w:rPr>
              <w:t>Recom’d</w:t>
            </w:r>
            <w:proofErr w:type="spellEnd"/>
            <w:r>
              <w:rPr>
                <w:b/>
              </w:rPr>
              <w:t xml:space="preserve"> </w:t>
            </w:r>
            <w:r w:rsidR="00552728">
              <w:rPr>
                <w:b/>
              </w:rPr>
              <w:t>G</w:t>
            </w:r>
            <w:r w:rsidR="00552728" w:rsidRPr="002426A0">
              <w:rPr>
                <w:b/>
              </w:rPr>
              <w:t>rant</w:t>
            </w:r>
            <w:r w:rsidR="002C2CC3">
              <w:rPr>
                <w:b/>
              </w:rPr>
              <w:t xml:space="preserve"> *</w:t>
            </w:r>
          </w:p>
          <w:p w:rsidR="00552728" w:rsidRPr="002426A0" w:rsidRDefault="00552728" w:rsidP="004263B3">
            <w:pPr>
              <w:jc w:val="center"/>
              <w:rPr>
                <w:b/>
              </w:rPr>
            </w:pPr>
            <w:r>
              <w:rPr>
                <w:b/>
              </w:rPr>
              <w:t>(£)</w:t>
            </w:r>
          </w:p>
        </w:tc>
        <w:tc>
          <w:tcPr>
            <w:tcW w:w="1559" w:type="dxa"/>
            <w:shd w:val="clear" w:color="auto" w:fill="auto"/>
          </w:tcPr>
          <w:p w:rsidR="00552728" w:rsidRPr="002426A0" w:rsidRDefault="00552728" w:rsidP="00552728">
            <w:pPr>
              <w:jc w:val="center"/>
              <w:rPr>
                <w:b/>
              </w:rPr>
            </w:pPr>
            <w:r w:rsidRPr="002426A0">
              <w:rPr>
                <w:b/>
              </w:rPr>
              <w:t>201</w:t>
            </w:r>
            <w:r>
              <w:rPr>
                <w:b/>
              </w:rPr>
              <w:t>8</w:t>
            </w:r>
            <w:r w:rsidRPr="002426A0">
              <w:rPr>
                <w:b/>
              </w:rPr>
              <w:t>/1</w:t>
            </w:r>
            <w:r>
              <w:rPr>
                <w:b/>
              </w:rPr>
              <w:t>9</w:t>
            </w:r>
            <w:r w:rsidRPr="002426A0">
              <w:rPr>
                <w:b/>
              </w:rPr>
              <w:t xml:space="preserve"> rent</w:t>
            </w:r>
          </w:p>
        </w:tc>
        <w:tc>
          <w:tcPr>
            <w:tcW w:w="1701" w:type="dxa"/>
            <w:shd w:val="clear" w:color="auto" w:fill="auto"/>
          </w:tcPr>
          <w:p w:rsidR="00552728" w:rsidRPr="002426A0" w:rsidRDefault="00552728" w:rsidP="004263B3">
            <w:pPr>
              <w:jc w:val="center"/>
              <w:rPr>
                <w:b/>
              </w:rPr>
            </w:pPr>
            <w:r w:rsidRPr="002426A0">
              <w:rPr>
                <w:b/>
              </w:rPr>
              <w:t>Balance to organisation</w:t>
            </w:r>
          </w:p>
        </w:tc>
      </w:tr>
      <w:tr w:rsidR="00552728" w:rsidRPr="005C06BF" w:rsidTr="00552728">
        <w:tc>
          <w:tcPr>
            <w:tcW w:w="4644" w:type="dxa"/>
            <w:shd w:val="clear" w:color="auto" w:fill="auto"/>
          </w:tcPr>
          <w:p w:rsidR="00552728" w:rsidRPr="000E5128" w:rsidRDefault="00552728" w:rsidP="004263B3">
            <w:pPr>
              <w:jc w:val="both"/>
              <w:rPr>
                <w:sz w:val="22"/>
              </w:rPr>
            </w:pPr>
            <w:r w:rsidRPr="000E5128">
              <w:rPr>
                <w:sz w:val="22"/>
              </w:rPr>
              <w:t>Agnes Smith Advice Centre</w:t>
            </w:r>
          </w:p>
        </w:tc>
        <w:tc>
          <w:tcPr>
            <w:tcW w:w="1418" w:type="dxa"/>
            <w:shd w:val="clear" w:color="auto" w:fill="auto"/>
          </w:tcPr>
          <w:p w:rsidR="00552728" w:rsidRPr="000E5128" w:rsidRDefault="00552728" w:rsidP="00552728">
            <w:pPr>
              <w:jc w:val="right"/>
              <w:rPr>
                <w:sz w:val="22"/>
              </w:rPr>
            </w:pPr>
            <w:r>
              <w:rPr>
                <w:sz w:val="22"/>
              </w:rPr>
              <w:t>£</w:t>
            </w:r>
            <w:r w:rsidR="00650ACC">
              <w:rPr>
                <w:sz w:val="22"/>
              </w:rPr>
              <w:t>81,026</w:t>
            </w:r>
          </w:p>
        </w:tc>
        <w:tc>
          <w:tcPr>
            <w:tcW w:w="1559" w:type="dxa"/>
            <w:shd w:val="clear" w:color="auto" w:fill="auto"/>
          </w:tcPr>
          <w:p w:rsidR="00552728" w:rsidRPr="000E5128" w:rsidRDefault="00552728" w:rsidP="004263B3">
            <w:pPr>
              <w:jc w:val="right"/>
              <w:rPr>
                <w:sz w:val="22"/>
              </w:rPr>
            </w:pPr>
            <w:r>
              <w:rPr>
                <w:sz w:val="22"/>
              </w:rPr>
              <w:t>£</w:t>
            </w:r>
            <w:r w:rsidRPr="000E5128">
              <w:rPr>
                <w:sz w:val="22"/>
              </w:rPr>
              <w:t>7,</w:t>
            </w:r>
            <w:r>
              <w:rPr>
                <w:sz w:val="22"/>
              </w:rPr>
              <w:t>2</w:t>
            </w:r>
            <w:r w:rsidRPr="000E5128">
              <w:rPr>
                <w:sz w:val="22"/>
              </w:rPr>
              <w:t>50</w:t>
            </w:r>
          </w:p>
        </w:tc>
        <w:tc>
          <w:tcPr>
            <w:tcW w:w="1701" w:type="dxa"/>
            <w:shd w:val="clear" w:color="auto" w:fill="auto"/>
          </w:tcPr>
          <w:p w:rsidR="00552728" w:rsidRPr="000E5128" w:rsidRDefault="00552728" w:rsidP="00552728">
            <w:pPr>
              <w:jc w:val="right"/>
              <w:rPr>
                <w:sz w:val="22"/>
              </w:rPr>
            </w:pPr>
            <w:r>
              <w:rPr>
                <w:sz w:val="22"/>
              </w:rPr>
              <w:t>£</w:t>
            </w:r>
            <w:r w:rsidR="00650ACC">
              <w:rPr>
                <w:sz w:val="22"/>
              </w:rPr>
              <w:t>73,776</w:t>
            </w:r>
          </w:p>
        </w:tc>
      </w:tr>
      <w:tr w:rsidR="00552728" w:rsidRPr="005C06BF" w:rsidTr="00552728">
        <w:tc>
          <w:tcPr>
            <w:tcW w:w="4644" w:type="dxa"/>
            <w:shd w:val="clear" w:color="auto" w:fill="auto"/>
          </w:tcPr>
          <w:p w:rsidR="00552728" w:rsidRPr="000E5128" w:rsidRDefault="00552728" w:rsidP="004263B3">
            <w:pPr>
              <w:jc w:val="both"/>
              <w:rPr>
                <w:sz w:val="22"/>
              </w:rPr>
            </w:pPr>
            <w:r w:rsidRPr="000E5128">
              <w:rPr>
                <w:sz w:val="22"/>
              </w:rPr>
              <w:t xml:space="preserve">Film Oxford </w:t>
            </w:r>
          </w:p>
        </w:tc>
        <w:tc>
          <w:tcPr>
            <w:tcW w:w="1418" w:type="dxa"/>
            <w:shd w:val="clear" w:color="auto" w:fill="auto"/>
          </w:tcPr>
          <w:p w:rsidR="00552728" w:rsidRPr="000E5128" w:rsidRDefault="00552728" w:rsidP="004263B3">
            <w:pPr>
              <w:jc w:val="right"/>
              <w:rPr>
                <w:sz w:val="22"/>
              </w:rPr>
            </w:pPr>
            <w:r>
              <w:rPr>
                <w:sz w:val="22"/>
              </w:rPr>
              <w:t>£</w:t>
            </w:r>
            <w:r w:rsidRPr="000E5128">
              <w:rPr>
                <w:sz w:val="22"/>
              </w:rPr>
              <w:t>25,000</w:t>
            </w:r>
          </w:p>
        </w:tc>
        <w:tc>
          <w:tcPr>
            <w:tcW w:w="1559" w:type="dxa"/>
            <w:shd w:val="clear" w:color="auto" w:fill="auto"/>
          </w:tcPr>
          <w:p w:rsidR="00552728" w:rsidRPr="000E5128" w:rsidRDefault="00552728" w:rsidP="004263B3">
            <w:pPr>
              <w:jc w:val="right"/>
              <w:rPr>
                <w:sz w:val="22"/>
              </w:rPr>
            </w:pPr>
            <w:r>
              <w:rPr>
                <w:sz w:val="22"/>
              </w:rPr>
              <w:t>£</w:t>
            </w:r>
            <w:r w:rsidRPr="000E5128">
              <w:rPr>
                <w:sz w:val="22"/>
              </w:rPr>
              <w:t>5,000</w:t>
            </w:r>
          </w:p>
        </w:tc>
        <w:tc>
          <w:tcPr>
            <w:tcW w:w="1701" w:type="dxa"/>
            <w:shd w:val="clear" w:color="auto" w:fill="auto"/>
          </w:tcPr>
          <w:p w:rsidR="00552728" w:rsidRPr="000E5128" w:rsidRDefault="00552728" w:rsidP="00552728">
            <w:pPr>
              <w:tabs>
                <w:tab w:val="center" w:pos="742"/>
                <w:tab w:val="right" w:pos="1485"/>
              </w:tabs>
              <w:jc w:val="right"/>
              <w:rPr>
                <w:sz w:val="22"/>
              </w:rPr>
            </w:pPr>
            <w:r>
              <w:rPr>
                <w:sz w:val="22"/>
              </w:rPr>
              <w:t>£</w:t>
            </w:r>
            <w:r w:rsidR="00650ACC">
              <w:rPr>
                <w:sz w:val="22"/>
              </w:rPr>
              <w:t>20,000</w:t>
            </w:r>
          </w:p>
        </w:tc>
      </w:tr>
      <w:tr w:rsidR="00552728" w:rsidRPr="005C06BF" w:rsidTr="00552728">
        <w:tc>
          <w:tcPr>
            <w:tcW w:w="4644" w:type="dxa"/>
            <w:shd w:val="clear" w:color="auto" w:fill="auto"/>
          </w:tcPr>
          <w:p w:rsidR="00552728" w:rsidRPr="000E5128" w:rsidRDefault="00552728" w:rsidP="004263B3">
            <w:pPr>
              <w:jc w:val="both"/>
              <w:rPr>
                <w:sz w:val="22"/>
              </w:rPr>
            </w:pPr>
            <w:r>
              <w:rPr>
                <w:sz w:val="22"/>
              </w:rPr>
              <w:t>Fusion Arts</w:t>
            </w:r>
          </w:p>
        </w:tc>
        <w:tc>
          <w:tcPr>
            <w:tcW w:w="1418" w:type="dxa"/>
            <w:shd w:val="clear" w:color="auto" w:fill="auto"/>
          </w:tcPr>
          <w:p w:rsidR="00552728" w:rsidRPr="000E5128" w:rsidRDefault="00552728" w:rsidP="004263B3">
            <w:pPr>
              <w:jc w:val="right"/>
              <w:rPr>
                <w:sz w:val="22"/>
              </w:rPr>
            </w:pPr>
            <w:r>
              <w:rPr>
                <w:sz w:val="22"/>
              </w:rPr>
              <w:t>£28,128</w:t>
            </w:r>
          </w:p>
        </w:tc>
        <w:tc>
          <w:tcPr>
            <w:tcW w:w="1559" w:type="dxa"/>
            <w:shd w:val="clear" w:color="auto" w:fill="auto"/>
          </w:tcPr>
          <w:p w:rsidR="00552728" w:rsidRPr="000E5128" w:rsidRDefault="00552728" w:rsidP="004263B3">
            <w:pPr>
              <w:jc w:val="right"/>
              <w:rPr>
                <w:sz w:val="22"/>
              </w:rPr>
            </w:pPr>
            <w:r>
              <w:rPr>
                <w:sz w:val="22"/>
              </w:rPr>
              <w:t>£8,837</w:t>
            </w:r>
          </w:p>
        </w:tc>
        <w:tc>
          <w:tcPr>
            <w:tcW w:w="1701" w:type="dxa"/>
            <w:shd w:val="clear" w:color="auto" w:fill="auto"/>
          </w:tcPr>
          <w:p w:rsidR="00552728" w:rsidRPr="000E5128" w:rsidRDefault="00552728" w:rsidP="00552728">
            <w:pPr>
              <w:jc w:val="right"/>
              <w:rPr>
                <w:sz w:val="22"/>
              </w:rPr>
            </w:pPr>
            <w:r>
              <w:rPr>
                <w:sz w:val="22"/>
              </w:rPr>
              <w:t>£</w:t>
            </w:r>
            <w:r w:rsidR="00650ACC">
              <w:rPr>
                <w:sz w:val="22"/>
              </w:rPr>
              <w:t>19,291</w:t>
            </w:r>
          </w:p>
        </w:tc>
      </w:tr>
      <w:tr w:rsidR="00552728" w:rsidRPr="005C06BF" w:rsidTr="00552728">
        <w:tc>
          <w:tcPr>
            <w:tcW w:w="4644" w:type="dxa"/>
            <w:shd w:val="clear" w:color="auto" w:fill="auto"/>
          </w:tcPr>
          <w:p w:rsidR="00552728" w:rsidRPr="000E5128" w:rsidRDefault="00552728" w:rsidP="004263B3">
            <w:pPr>
              <w:jc w:val="both"/>
              <w:rPr>
                <w:sz w:val="22"/>
              </w:rPr>
            </w:pPr>
            <w:r w:rsidRPr="000E5128">
              <w:rPr>
                <w:sz w:val="22"/>
              </w:rPr>
              <w:t xml:space="preserve">Modern Art Oxford </w:t>
            </w:r>
          </w:p>
        </w:tc>
        <w:tc>
          <w:tcPr>
            <w:tcW w:w="1418" w:type="dxa"/>
            <w:shd w:val="clear" w:color="auto" w:fill="auto"/>
          </w:tcPr>
          <w:p w:rsidR="00552728" w:rsidRPr="000E5128" w:rsidRDefault="00552728" w:rsidP="004263B3">
            <w:pPr>
              <w:jc w:val="right"/>
              <w:rPr>
                <w:sz w:val="22"/>
              </w:rPr>
            </w:pPr>
            <w:r>
              <w:rPr>
                <w:sz w:val="22"/>
              </w:rPr>
              <w:t>£</w:t>
            </w:r>
            <w:r w:rsidRPr="000E5128">
              <w:rPr>
                <w:sz w:val="22"/>
              </w:rPr>
              <w:t>70,000</w:t>
            </w:r>
          </w:p>
        </w:tc>
        <w:tc>
          <w:tcPr>
            <w:tcW w:w="1559" w:type="dxa"/>
            <w:shd w:val="clear" w:color="auto" w:fill="auto"/>
          </w:tcPr>
          <w:p w:rsidR="00552728" w:rsidRPr="000E5128" w:rsidRDefault="00552728" w:rsidP="004263B3">
            <w:pPr>
              <w:jc w:val="right"/>
              <w:rPr>
                <w:sz w:val="22"/>
              </w:rPr>
            </w:pPr>
            <w:r>
              <w:rPr>
                <w:sz w:val="22"/>
              </w:rPr>
              <w:t>£</w:t>
            </w:r>
            <w:r w:rsidRPr="000E5128">
              <w:rPr>
                <w:sz w:val="22"/>
              </w:rPr>
              <w:t>70,000</w:t>
            </w:r>
          </w:p>
        </w:tc>
        <w:tc>
          <w:tcPr>
            <w:tcW w:w="1701" w:type="dxa"/>
            <w:shd w:val="clear" w:color="auto" w:fill="auto"/>
          </w:tcPr>
          <w:p w:rsidR="00552728" w:rsidRPr="000E5128" w:rsidRDefault="00552728" w:rsidP="004263B3">
            <w:pPr>
              <w:jc w:val="right"/>
              <w:rPr>
                <w:sz w:val="22"/>
              </w:rPr>
            </w:pPr>
            <w:r>
              <w:rPr>
                <w:sz w:val="22"/>
              </w:rPr>
              <w:t>0</w:t>
            </w:r>
          </w:p>
        </w:tc>
      </w:tr>
      <w:tr w:rsidR="00552728" w:rsidRPr="005C06BF" w:rsidTr="00552728">
        <w:tc>
          <w:tcPr>
            <w:tcW w:w="4644" w:type="dxa"/>
            <w:shd w:val="clear" w:color="auto" w:fill="auto"/>
          </w:tcPr>
          <w:p w:rsidR="00552728" w:rsidRPr="000E5128" w:rsidRDefault="00552728" w:rsidP="004263B3">
            <w:pPr>
              <w:jc w:val="both"/>
              <w:rPr>
                <w:sz w:val="22"/>
              </w:rPr>
            </w:pPr>
            <w:r w:rsidRPr="000E5128">
              <w:rPr>
                <w:sz w:val="22"/>
              </w:rPr>
              <w:t>Oxford Community Work Agency</w:t>
            </w:r>
          </w:p>
        </w:tc>
        <w:tc>
          <w:tcPr>
            <w:tcW w:w="1418" w:type="dxa"/>
            <w:shd w:val="clear" w:color="auto" w:fill="auto"/>
          </w:tcPr>
          <w:p w:rsidR="00552728" w:rsidRPr="000E5128" w:rsidRDefault="00552728" w:rsidP="00552728">
            <w:pPr>
              <w:jc w:val="right"/>
              <w:rPr>
                <w:sz w:val="22"/>
              </w:rPr>
            </w:pPr>
            <w:r>
              <w:rPr>
                <w:sz w:val="22"/>
              </w:rPr>
              <w:t>£</w:t>
            </w:r>
            <w:r w:rsidR="00650ACC">
              <w:rPr>
                <w:sz w:val="22"/>
              </w:rPr>
              <w:t>116,480</w:t>
            </w:r>
            <w:r w:rsidRPr="000E5128">
              <w:rPr>
                <w:sz w:val="22"/>
              </w:rPr>
              <w:t xml:space="preserve"> </w:t>
            </w:r>
          </w:p>
        </w:tc>
        <w:tc>
          <w:tcPr>
            <w:tcW w:w="1559" w:type="dxa"/>
            <w:shd w:val="clear" w:color="auto" w:fill="auto"/>
          </w:tcPr>
          <w:p w:rsidR="00552728" w:rsidRPr="000E5128" w:rsidRDefault="00552728" w:rsidP="004263B3">
            <w:pPr>
              <w:jc w:val="right"/>
              <w:rPr>
                <w:sz w:val="22"/>
              </w:rPr>
            </w:pPr>
            <w:r>
              <w:rPr>
                <w:sz w:val="22"/>
              </w:rPr>
              <w:t>£</w:t>
            </w:r>
            <w:r w:rsidRPr="000E5128">
              <w:rPr>
                <w:sz w:val="22"/>
              </w:rPr>
              <w:t>8,100</w:t>
            </w:r>
          </w:p>
        </w:tc>
        <w:tc>
          <w:tcPr>
            <w:tcW w:w="1701" w:type="dxa"/>
            <w:shd w:val="clear" w:color="auto" w:fill="auto"/>
          </w:tcPr>
          <w:p w:rsidR="00552728" w:rsidRPr="000E5128" w:rsidRDefault="00552728" w:rsidP="00552728">
            <w:pPr>
              <w:jc w:val="right"/>
              <w:rPr>
                <w:sz w:val="22"/>
              </w:rPr>
            </w:pPr>
            <w:r>
              <w:rPr>
                <w:sz w:val="22"/>
              </w:rPr>
              <w:t>£</w:t>
            </w:r>
            <w:r w:rsidR="00650ACC">
              <w:rPr>
                <w:sz w:val="22"/>
              </w:rPr>
              <w:t>108,380</w:t>
            </w:r>
          </w:p>
        </w:tc>
      </w:tr>
      <w:tr w:rsidR="00552728" w:rsidRPr="005C06BF" w:rsidTr="00552728">
        <w:tc>
          <w:tcPr>
            <w:tcW w:w="4644" w:type="dxa"/>
            <w:shd w:val="clear" w:color="auto" w:fill="auto"/>
          </w:tcPr>
          <w:p w:rsidR="00552728" w:rsidRPr="000E5128" w:rsidRDefault="00552728" w:rsidP="004263B3">
            <w:pPr>
              <w:jc w:val="both"/>
              <w:rPr>
                <w:sz w:val="22"/>
              </w:rPr>
            </w:pPr>
            <w:r w:rsidRPr="000E5128">
              <w:rPr>
                <w:sz w:val="22"/>
              </w:rPr>
              <w:t>Rose Hill &amp; Donnington Advice Centre</w:t>
            </w:r>
          </w:p>
        </w:tc>
        <w:tc>
          <w:tcPr>
            <w:tcW w:w="1418" w:type="dxa"/>
            <w:shd w:val="clear" w:color="auto" w:fill="auto"/>
          </w:tcPr>
          <w:p w:rsidR="00552728" w:rsidRPr="000E5128" w:rsidRDefault="00552728" w:rsidP="00552728">
            <w:pPr>
              <w:jc w:val="right"/>
              <w:rPr>
                <w:sz w:val="22"/>
              </w:rPr>
            </w:pPr>
            <w:r>
              <w:rPr>
                <w:sz w:val="22"/>
              </w:rPr>
              <w:t xml:space="preserve">   £</w:t>
            </w:r>
            <w:r w:rsidR="00650ACC">
              <w:rPr>
                <w:sz w:val="22"/>
              </w:rPr>
              <w:t>85,955</w:t>
            </w:r>
          </w:p>
        </w:tc>
        <w:tc>
          <w:tcPr>
            <w:tcW w:w="1559" w:type="dxa"/>
            <w:shd w:val="clear" w:color="auto" w:fill="auto"/>
          </w:tcPr>
          <w:p w:rsidR="00552728" w:rsidRPr="000E5128" w:rsidRDefault="00552728" w:rsidP="004263B3">
            <w:pPr>
              <w:jc w:val="right"/>
              <w:rPr>
                <w:sz w:val="22"/>
              </w:rPr>
            </w:pPr>
            <w:r>
              <w:rPr>
                <w:sz w:val="22"/>
              </w:rPr>
              <w:t>£</w:t>
            </w:r>
            <w:r w:rsidRPr="000E5128">
              <w:rPr>
                <w:sz w:val="22"/>
              </w:rPr>
              <w:t>3,000</w:t>
            </w:r>
          </w:p>
        </w:tc>
        <w:tc>
          <w:tcPr>
            <w:tcW w:w="1701" w:type="dxa"/>
            <w:shd w:val="clear" w:color="auto" w:fill="auto"/>
          </w:tcPr>
          <w:p w:rsidR="00552728" w:rsidRPr="000E5128" w:rsidRDefault="00552728" w:rsidP="00552728">
            <w:pPr>
              <w:jc w:val="right"/>
              <w:rPr>
                <w:sz w:val="22"/>
              </w:rPr>
            </w:pPr>
            <w:r>
              <w:rPr>
                <w:sz w:val="22"/>
              </w:rPr>
              <w:t>£</w:t>
            </w:r>
            <w:r w:rsidR="00650ACC">
              <w:rPr>
                <w:sz w:val="22"/>
              </w:rPr>
              <w:t>82,955</w:t>
            </w:r>
          </w:p>
        </w:tc>
      </w:tr>
      <w:tr w:rsidR="00552728" w:rsidRPr="002426A0" w:rsidTr="00552728">
        <w:tc>
          <w:tcPr>
            <w:tcW w:w="4644" w:type="dxa"/>
            <w:shd w:val="clear" w:color="auto" w:fill="auto"/>
          </w:tcPr>
          <w:p w:rsidR="00552728" w:rsidRPr="000E5128" w:rsidRDefault="00552728" w:rsidP="004263B3">
            <w:pPr>
              <w:jc w:val="both"/>
              <w:rPr>
                <w:b/>
                <w:sz w:val="22"/>
              </w:rPr>
            </w:pPr>
            <w:r w:rsidRPr="000E5128">
              <w:rPr>
                <w:b/>
                <w:sz w:val="22"/>
              </w:rPr>
              <w:t xml:space="preserve">                                              Total</w:t>
            </w:r>
          </w:p>
        </w:tc>
        <w:tc>
          <w:tcPr>
            <w:tcW w:w="1418" w:type="dxa"/>
            <w:shd w:val="clear" w:color="auto" w:fill="auto"/>
          </w:tcPr>
          <w:p w:rsidR="00552728" w:rsidRPr="000E5128" w:rsidRDefault="00552728" w:rsidP="00552728">
            <w:pPr>
              <w:jc w:val="right"/>
              <w:rPr>
                <w:b/>
                <w:sz w:val="22"/>
              </w:rPr>
            </w:pPr>
            <w:r w:rsidRPr="000E5128">
              <w:rPr>
                <w:b/>
                <w:sz w:val="22"/>
              </w:rPr>
              <w:t>£</w:t>
            </w:r>
            <w:r w:rsidR="00650ACC">
              <w:rPr>
                <w:b/>
                <w:sz w:val="22"/>
              </w:rPr>
              <w:t>406,589</w:t>
            </w:r>
          </w:p>
        </w:tc>
        <w:tc>
          <w:tcPr>
            <w:tcW w:w="1559" w:type="dxa"/>
            <w:shd w:val="clear" w:color="auto" w:fill="auto"/>
          </w:tcPr>
          <w:p w:rsidR="00552728" w:rsidRPr="000E5128" w:rsidRDefault="00552728" w:rsidP="00650ACC">
            <w:pPr>
              <w:jc w:val="right"/>
              <w:rPr>
                <w:b/>
                <w:sz w:val="22"/>
              </w:rPr>
            </w:pPr>
            <w:r w:rsidRPr="000E5128">
              <w:rPr>
                <w:b/>
                <w:sz w:val="22"/>
              </w:rPr>
              <w:t>£</w:t>
            </w:r>
            <w:r w:rsidR="00650ACC">
              <w:rPr>
                <w:b/>
                <w:sz w:val="22"/>
              </w:rPr>
              <w:t>102,187</w:t>
            </w:r>
          </w:p>
        </w:tc>
        <w:tc>
          <w:tcPr>
            <w:tcW w:w="1701" w:type="dxa"/>
            <w:shd w:val="clear" w:color="auto" w:fill="auto"/>
          </w:tcPr>
          <w:p w:rsidR="00552728" w:rsidRPr="000E5128" w:rsidRDefault="00552728" w:rsidP="00552728">
            <w:pPr>
              <w:jc w:val="right"/>
              <w:rPr>
                <w:b/>
                <w:sz w:val="22"/>
              </w:rPr>
            </w:pPr>
            <w:r w:rsidRPr="000E5128">
              <w:rPr>
                <w:b/>
                <w:sz w:val="22"/>
              </w:rPr>
              <w:t>£</w:t>
            </w:r>
            <w:r w:rsidR="00650ACC">
              <w:rPr>
                <w:b/>
                <w:sz w:val="22"/>
              </w:rPr>
              <w:t>304,402</w:t>
            </w:r>
          </w:p>
        </w:tc>
      </w:tr>
    </w:tbl>
    <w:p w:rsidR="00340ABA" w:rsidRPr="003F315E" w:rsidRDefault="003F315E" w:rsidP="003F315E">
      <w:pPr>
        <w:spacing w:after="0"/>
        <w:ind w:left="360"/>
        <w:jc w:val="both"/>
        <w:rPr>
          <w:sz w:val="20"/>
          <w:szCs w:val="20"/>
        </w:rPr>
      </w:pPr>
      <w:r w:rsidRPr="003F315E">
        <w:rPr>
          <w:sz w:val="20"/>
          <w:szCs w:val="20"/>
        </w:rPr>
        <w:t>*</w:t>
      </w:r>
      <w:r w:rsidR="002C2CC3" w:rsidRPr="003F315E">
        <w:rPr>
          <w:sz w:val="20"/>
          <w:szCs w:val="20"/>
        </w:rPr>
        <w:t>see Appendices</w:t>
      </w:r>
      <w:r>
        <w:rPr>
          <w:sz w:val="20"/>
          <w:szCs w:val="20"/>
        </w:rPr>
        <w:t xml:space="preserve"> 1 &amp; 2</w:t>
      </w:r>
    </w:p>
    <w:p w:rsidR="003F315E" w:rsidRDefault="003F315E" w:rsidP="00340ABA">
      <w:pPr>
        <w:jc w:val="both"/>
        <w:rPr>
          <w:b/>
        </w:rPr>
      </w:pPr>
    </w:p>
    <w:p w:rsidR="00340ABA" w:rsidRDefault="00340ABA" w:rsidP="00340ABA">
      <w:pPr>
        <w:jc w:val="both"/>
        <w:rPr>
          <w:b/>
        </w:rPr>
      </w:pPr>
      <w:r w:rsidRPr="005C06BF">
        <w:rPr>
          <w:b/>
        </w:rPr>
        <w:t>Climate Change / Environmental Impact</w:t>
      </w:r>
    </w:p>
    <w:p w:rsidR="00340ABA" w:rsidRPr="005C06BF" w:rsidRDefault="004468D0" w:rsidP="00340ABA">
      <w:pPr>
        <w:ind w:left="720" w:hanging="720"/>
        <w:jc w:val="both"/>
      </w:pPr>
      <w:r>
        <w:t>2</w:t>
      </w:r>
      <w:r w:rsidR="002E4410">
        <w:t>4</w:t>
      </w:r>
      <w:r w:rsidR="00340ABA">
        <w:t>.</w:t>
      </w:r>
      <w:r w:rsidR="00340ABA">
        <w:tab/>
        <w:t>S</w:t>
      </w:r>
      <w:r w:rsidR="00340ABA" w:rsidRPr="005C06BF">
        <w:t xml:space="preserve">uccessful applicants </w:t>
      </w:r>
      <w:r w:rsidR="00340ABA">
        <w:t xml:space="preserve">are made </w:t>
      </w:r>
      <w:r w:rsidR="00340ABA" w:rsidRPr="005C06BF">
        <w:t xml:space="preserve">aware of </w:t>
      </w:r>
      <w:r w:rsidR="00340ABA">
        <w:t>the</w:t>
      </w:r>
      <w:r w:rsidR="00340ABA" w:rsidRPr="005C06BF">
        <w:t xml:space="preserve"> Council</w:t>
      </w:r>
      <w:r w:rsidR="00340ABA">
        <w:t>’s</w:t>
      </w:r>
      <w:r w:rsidR="00340ABA" w:rsidRPr="005C06BF">
        <w:t xml:space="preserve"> </w:t>
      </w:r>
      <w:r w:rsidR="00340ABA">
        <w:t>c</w:t>
      </w:r>
      <w:r w:rsidR="00340ABA" w:rsidRPr="005C06BF">
        <w:t>ommitment to reducing its carbon footprint and encourage</w:t>
      </w:r>
      <w:r w:rsidR="00340ABA">
        <w:t>d</w:t>
      </w:r>
      <w:r w:rsidR="00340ABA" w:rsidRPr="005C06BF">
        <w:t xml:space="preserve"> to take similar action.</w:t>
      </w:r>
    </w:p>
    <w:p w:rsidR="00FA37E0" w:rsidRPr="00383727" w:rsidRDefault="00FA37E0" w:rsidP="00FA37E0">
      <w:pPr>
        <w:spacing w:after="0"/>
        <w:jc w:val="both"/>
        <w:rPr>
          <w:b/>
          <w:sz w:val="16"/>
          <w:szCs w:val="16"/>
        </w:rPr>
      </w:pPr>
    </w:p>
    <w:p w:rsidR="00340ABA" w:rsidRDefault="00340ABA" w:rsidP="00340ABA">
      <w:pPr>
        <w:jc w:val="both"/>
        <w:rPr>
          <w:b/>
        </w:rPr>
      </w:pPr>
      <w:r w:rsidRPr="005C06BF">
        <w:rPr>
          <w:b/>
        </w:rPr>
        <w:t>Equalities Impact</w:t>
      </w:r>
    </w:p>
    <w:p w:rsidR="00340ABA" w:rsidRPr="005C06BF" w:rsidRDefault="002E4410" w:rsidP="00340ABA">
      <w:pPr>
        <w:ind w:left="720" w:hanging="720"/>
        <w:jc w:val="both"/>
      </w:pPr>
      <w:r>
        <w:t>25</w:t>
      </w:r>
      <w:r w:rsidR="00340ABA" w:rsidRPr="005C06BF">
        <w:t>.</w:t>
      </w:r>
      <w:r w:rsidR="00340ABA" w:rsidRPr="005C06BF">
        <w:tab/>
        <w:t>Some examples of how equality is positively enhanced by the grants programme include</w:t>
      </w:r>
      <w:r w:rsidR="00340ABA">
        <w:t xml:space="preserve"> funding services for</w:t>
      </w:r>
      <w:r w:rsidR="00340ABA" w:rsidRPr="005C06BF">
        <w:t>:</w:t>
      </w:r>
    </w:p>
    <w:p w:rsidR="00340ABA" w:rsidRPr="005C06BF" w:rsidRDefault="00340ABA" w:rsidP="00340ABA">
      <w:pPr>
        <w:numPr>
          <w:ilvl w:val="0"/>
          <w:numId w:val="35"/>
        </w:numPr>
        <w:spacing w:after="0"/>
        <w:ind w:left="1491" w:hanging="357"/>
        <w:jc w:val="both"/>
      </w:pPr>
      <w:r>
        <w:t>S</w:t>
      </w:r>
      <w:r w:rsidRPr="005C06BF">
        <w:t xml:space="preserve">urvivors of rape, sexual abuse and domestic violence </w:t>
      </w:r>
    </w:p>
    <w:p w:rsidR="00340ABA" w:rsidRPr="005C06BF" w:rsidRDefault="00340ABA" w:rsidP="00340ABA">
      <w:pPr>
        <w:numPr>
          <w:ilvl w:val="0"/>
          <w:numId w:val="35"/>
        </w:numPr>
        <w:spacing w:after="0"/>
        <w:ind w:left="1491" w:hanging="357"/>
        <w:jc w:val="both"/>
      </w:pPr>
      <w:r>
        <w:t>L</w:t>
      </w:r>
      <w:r w:rsidRPr="005C06BF">
        <w:t>esbian, gay, bisexual and transgender people through recommending continued funding for the Oxford Friend helpline</w:t>
      </w:r>
    </w:p>
    <w:p w:rsidR="00340ABA" w:rsidRDefault="00340ABA" w:rsidP="00340ABA">
      <w:pPr>
        <w:numPr>
          <w:ilvl w:val="0"/>
          <w:numId w:val="35"/>
        </w:numPr>
        <w:spacing w:after="0"/>
        <w:ind w:left="1491" w:hanging="357"/>
        <w:jc w:val="both"/>
      </w:pPr>
      <w:r>
        <w:t>P</w:t>
      </w:r>
      <w:r w:rsidRPr="005C06BF">
        <w:t>eople with disabilities, particularly children and young people with disabilities through recommending funding for Parasol inclusive play</w:t>
      </w:r>
      <w:r>
        <w:t xml:space="preserve"> </w:t>
      </w:r>
    </w:p>
    <w:p w:rsidR="00340ABA" w:rsidRPr="005C06BF" w:rsidRDefault="00340ABA" w:rsidP="00340ABA">
      <w:pPr>
        <w:numPr>
          <w:ilvl w:val="0"/>
          <w:numId w:val="35"/>
        </w:numPr>
        <w:spacing w:after="0"/>
        <w:ind w:left="1491" w:hanging="357"/>
        <w:jc w:val="both"/>
      </w:pPr>
      <w:r>
        <w:t>O</w:t>
      </w:r>
      <w:r w:rsidRPr="005C06BF">
        <w:t xml:space="preserve">lder people, through recommending support for specific activities </w:t>
      </w:r>
    </w:p>
    <w:p w:rsidR="00340ABA" w:rsidRPr="005C06BF" w:rsidRDefault="00340ABA" w:rsidP="00340ABA">
      <w:pPr>
        <w:numPr>
          <w:ilvl w:val="0"/>
          <w:numId w:val="35"/>
        </w:numPr>
        <w:spacing w:after="0"/>
        <w:ind w:left="1491" w:hanging="357"/>
        <w:jc w:val="both"/>
      </w:pPr>
      <w:r w:rsidRPr="005C06BF">
        <w:t>BME groups, through funding dedicated work with asylum seekers and refugees.</w:t>
      </w:r>
    </w:p>
    <w:p w:rsidR="00340ABA" w:rsidRPr="00383727" w:rsidRDefault="00340ABA" w:rsidP="00FA37E0">
      <w:pPr>
        <w:spacing w:after="0"/>
        <w:jc w:val="both"/>
        <w:rPr>
          <w:sz w:val="16"/>
          <w:szCs w:val="16"/>
        </w:rPr>
      </w:pPr>
    </w:p>
    <w:p w:rsidR="00340ABA" w:rsidRDefault="00340ABA" w:rsidP="00340ABA">
      <w:pPr>
        <w:jc w:val="both"/>
        <w:rPr>
          <w:b/>
        </w:rPr>
      </w:pPr>
      <w:r>
        <w:rPr>
          <w:b/>
        </w:rPr>
        <w:lastRenderedPageBreak/>
        <w:t xml:space="preserve">Level of </w:t>
      </w:r>
      <w:r w:rsidRPr="005C06BF">
        <w:rPr>
          <w:b/>
        </w:rPr>
        <w:t>Risk</w:t>
      </w:r>
    </w:p>
    <w:p w:rsidR="00340ABA" w:rsidRPr="005C06BF" w:rsidRDefault="002E4410" w:rsidP="00340ABA">
      <w:pPr>
        <w:ind w:left="720" w:hanging="720"/>
        <w:jc w:val="both"/>
      </w:pPr>
      <w:r>
        <w:t>26</w:t>
      </w:r>
      <w:r w:rsidR="00340ABA" w:rsidRPr="005C06BF">
        <w:t>.</w:t>
      </w:r>
      <w:r w:rsidR="00340ABA" w:rsidRPr="005C06BF">
        <w:tab/>
      </w:r>
      <w:r w:rsidR="00340ABA">
        <w:t>S</w:t>
      </w:r>
      <w:r w:rsidR="00340ABA" w:rsidRPr="005C06BF">
        <w:t>uccessful applicant</w:t>
      </w:r>
      <w:r w:rsidR="00340ABA">
        <w:t>s</w:t>
      </w:r>
      <w:r w:rsidR="00340ABA" w:rsidRPr="005C06BF">
        <w:t xml:space="preserve"> must agree to and sign terms and conditions</w:t>
      </w:r>
      <w:r w:rsidR="00340ABA">
        <w:t xml:space="preserve"> before funding is released.  W</w:t>
      </w:r>
      <w:r w:rsidR="00340ABA" w:rsidRPr="005C06BF">
        <w:t>ithin these terms they must agree to:</w:t>
      </w:r>
    </w:p>
    <w:p w:rsidR="00340ABA" w:rsidRPr="005C06BF" w:rsidRDefault="00340ABA" w:rsidP="00340ABA">
      <w:pPr>
        <w:numPr>
          <w:ilvl w:val="0"/>
          <w:numId w:val="36"/>
        </w:numPr>
        <w:spacing w:after="0"/>
        <w:ind w:left="1491" w:hanging="357"/>
        <w:jc w:val="both"/>
      </w:pPr>
      <w:bookmarkStart w:id="0" w:name="_GoBack"/>
      <w:bookmarkEnd w:id="0"/>
      <w:r w:rsidRPr="005C06BF">
        <w:t>Sp</w:t>
      </w:r>
      <w:r>
        <w:t xml:space="preserve">end the funding on the project </w:t>
      </w:r>
      <w:r w:rsidRPr="005C06BF">
        <w:t>described in their application</w:t>
      </w:r>
    </w:p>
    <w:p w:rsidR="00340ABA" w:rsidRPr="005C06BF" w:rsidRDefault="00340ABA" w:rsidP="00340ABA">
      <w:pPr>
        <w:numPr>
          <w:ilvl w:val="0"/>
          <w:numId w:val="36"/>
        </w:numPr>
        <w:spacing w:after="0"/>
        <w:ind w:left="1491" w:hanging="357"/>
        <w:jc w:val="both"/>
      </w:pPr>
      <w:r>
        <w:t xml:space="preserve">Repay any unspent grant </w:t>
      </w:r>
    </w:p>
    <w:p w:rsidR="00340ABA" w:rsidRPr="005C06BF" w:rsidRDefault="00340ABA" w:rsidP="00340ABA">
      <w:pPr>
        <w:numPr>
          <w:ilvl w:val="0"/>
          <w:numId w:val="36"/>
        </w:numPr>
        <w:spacing w:after="0"/>
        <w:ind w:left="1491" w:hanging="357"/>
        <w:jc w:val="both"/>
      </w:pPr>
      <w:r w:rsidRPr="005C06BF">
        <w:t>Keep financial records and receipts</w:t>
      </w:r>
    </w:p>
    <w:p w:rsidR="00340ABA" w:rsidRPr="00CA2B2F" w:rsidRDefault="00340ABA" w:rsidP="00340ABA">
      <w:pPr>
        <w:numPr>
          <w:ilvl w:val="0"/>
          <w:numId w:val="36"/>
        </w:numPr>
        <w:spacing w:after="0"/>
        <w:ind w:left="1491" w:hanging="357"/>
        <w:jc w:val="both"/>
        <w:rPr>
          <w:sz w:val="20"/>
          <w:szCs w:val="20"/>
        </w:rPr>
      </w:pPr>
      <w:r w:rsidRPr="005C06BF">
        <w:t xml:space="preserve">Return monitoring </w:t>
      </w:r>
      <w:r w:rsidR="00F5121B">
        <w:t>information</w:t>
      </w:r>
      <w:r w:rsidRPr="005C06BF">
        <w:t xml:space="preserve"> </w:t>
      </w:r>
    </w:p>
    <w:p w:rsidR="00340ABA" w:rsidRPr="00CA2B2F" w:rsidRDefault="00340ABA" w:rsidP="00FA37E0">
      <w:pPr>
        <w:spacing w:after="0"/>
        <w:ind w:left="774"/>
        <w:jc w:val="both"/>
        <w:rPr>
          <w:sz w:val="20"/>
          <w:szCs w:val="20"/>
        </w:rPr>
      </w:pPr>
    </w:p>
    <w:p w:rsidR="00340ABA" w:rsidRPr="005C06BF" w:rsidRDefault="002E4410" w:rsidP="00340ABA">
      <w:pPr>
        <w:ind w:left="720" w:hanging="720"/>
        <w:jc w:val="both"/>
      </w:pPr>
      <w:r>
        <w:t>27</w:t>
      </w:r>
      <w:r w:rsidR="00340ABA" w:rsidRPr="005C06BF">
        <w:tab/>
        <w:t>Each organisation awarded gran</w:t>
      </w:r>
      <w:r w:rsidR="00340ABA">
        <w:t xml:space="preserve">t funding will be monitored by an </w:t>
      </w:r>
      <w:r w:rsidR="00340ABA" w:rsidRPr="005C06BF">
        <w:t xml:space="preserve">officer.  Please see Appendix </w:t>
      </w:r>
      <w:r w:rsidR="00340ABA">
        <w:t xml:space="preserve">4 </w:t>
      </w:r>
      <w:r w:rsidR="00340ABA" w:rsidRPr="005C06BF">
        <w:t>for the risk register.</w:t>
      </w:r>
    </w:p>
    <w:p w:rsidR="00340ABA" w:rsidRPr="00383727" w:rsidRDefault="00340ABA" w:rsidP="00FA37E0">
      <w:pPr>
        <w:spacing w:after="0"/>
        <w:jc w:val="both"/>
        <w:rPr>
          <w:sz w:val="16"/>
          <w:szCs w:val="16"/>
        </w:rPr>
      </w:pPr>
    </w:p>
    <w:p w:rsidR="00340ABA" w:rsidRDefault="00340ABA" w:rsidP="00340ABA">
      <w:pPr>
        <w:jc w:val="both"/>
        <w:rPr>
          <w:b/>
        </w:rPr>
      </w:pPr>
      <w:r w:rsidRPr="005C06BF">
        <w:rPr>
          <w:b/>
        </w:rPr>
        <w:t>Financial Impact</w:t>
      </w:r>
    </w:p>
    <w:p w:rsidR="00340ABA" w:rsidRPr="005C06BF" w:rsidRDefault="002E4410" w:rsidP="00340ABA">
      <w:pPr>
        <w:ind w:left="720" w:hanging="720"/>
        <w:jc w:val="both"/>
      </w:pPr>
      <w:r>
        <w:t>28</w:t>
      </w:r>
      <w:r w:rsidR="00340ABA" w:rsidRPr="005C06BF">
        <w:t>.</w:t>
      </w:r>
      <w:r w:rsidR="00340ABA" w:rsidRPr="005C06BF">
        <w:tab/>
        <w:t>The</w:t>
      </w:r>
      <w:r w:rsidR="00340ABA">
        <w:t xml:space="preserve"> allocations of grant funding as proposed are dependent on agreement of the Council’s budget in February 201</w:t>
      </w:r>
      <w:r w:rsidR="00902B7F">
        <w:t>8</w:t>
      </w:r>
      <w:r w:rsidR="00340ABA">
        <w:t xml:space="preserve">. </w:t>
      </w:r>
    </w:p>
    <w:p w:rsidR="00340ABA" w:rsidRPr="00383727" w:rsidRDefault="00340ABA" w:rsidP="00FA37E0">
      <w:pPr>
        <w:spacing w:after="0"/>
        <w:jc w:val="both"/>
        <w:rPr>
          <w:sz w:val="16"/>
          <w:szCs w:val="16"/>
        </w:rPr>
      </w:pPr>
    </w:p>
    <w:p w:rsidR="00340ABA" w:rsidRDefault="002E4410" w:rsidP="00340ABA">
      <w:pPr>
        <w:ind w:left="720" w:hanging="720"/>
        <w:jc w:val="both"/>
      </w:pPr>
      <w:r>
        <w:t>29</w:t>
      </w:r>
      <w:r w:rsidR="00340ABA">
        <w:t>.</w:t>
      </w:r>
      <w:r w:rsidR="00340ABA">
        <w:tab/>
        <w:t xml:space="preserve">The total amount of the grants budget </w:t>
      </w:r>
      <w:r w:rsidR="00361247">
        <w:t xml:space="preserve">over three years </w:t>
      </w:r>
      <w:r w:rsidR="00340ABA">
        <w:t>currently recommended in this report is £</w:t>
      </w:r>
      <w:r w:rsidR="00902B7F">
        <w:t>3,345,182</w:t>
      </w:r>
      <w:r w:rsidR="00361247">
        <w:t>.</w:t>
      </w:r>
      <w:r w:rsidR="00340ABA">
        <w:t xml:space="preserve"> £</w:t>
      </w:r>
      <w:r w:rsidR="00902B7F">
        <w:t>345,000</w:t>
      </w:r>
      <w:r w:rsidR="00340ABA">
        <w:t xml:space="preserve"> has been allocated for </w:t>
      </w:r>
      <w:r w:rsidR="00902B7F">
        <w:t>the open bidding grants programme where the process is currently taking place</w:t>
      </w:r>
      <w:r w:rsidR="00E72765">
        <w:t>.</w:t>
      </w:r>
      <w:r w:rsidR="00902B7F">
        <w:t xml:space="preserve"> </w:t>
      </w:r>
      <w:r w:rsidR="00E72765">
        <w:t xml:space="preserve">A total of </w:t>
      </w:r>
      <w:r w:rsidR="00902B7F">
        <w:t>£90,000 for the small grants programme that will run each year of the three year grants programme commencing from April 2018</w:t>
      </w:r>
      <w:r w:rsidR="00E72765">
        <w:t>.</w:t>
      </w:r>
      <w:r w:rsidR="00902B7F">
        <w:t xml:space="preserve"> £470,524 is allocated for arts &amp; culture commissioning from April 2019</w:t>
      </w:r>
      <w:r w:rsidR="00340ABA">
        <w:t xml:space="preserve"> (see Table 1 above) and a report will be submitted to the City Executive Board in March 201</w:t>
      </w:r>
      <w:r w:rsidR="00902B7F">
        <w:t>8</w:t>
      </w:r>
      <w:r w:rsidR="00340ABA">
        <w:t xml:space="preserve"> with the proposed allocations for both the Preventing Homelessness grant and the Council’s Homelessness grant commissioning budget (£</w:t>
      </w:r>
      <w:r w:rsidR="001505AF">
        <w:t>1,326,837</w:t>
      </w:r>
      <w:r w:rsidR="00340ABA">
        <w:t>) to voluntary sector organisations working with rough sleepers and homeless people.</w:t>
      </w:r>
    </w:p>
    <w:p w:rsidR="00340ABA" w:rsidRPr="00383727" w:rsidRDefault="00340ABA" w:rsidP="00FA37E0">
      <w:pPr>
        <w:spacing w:after="0"/>
        <w:jc w:val="both"/>
        <w:rPr>
          <w:sz w:val="16"/>
          <w:szCs w:val="16"/>
          <w:vertAlign w:val="subscript"/>
        </w:rPr>
      </w:pPr>
    </w:p>
    <w:p w:rsidR="00340ABA" w:rsidRDefault="00340ABA" w:rsidP="00340ABA">
      <w:pPr>
        <w:jc w:val="both"/>
        <w:rPr>
          <w:b/>
        </w:rPr>
      </w:pPr>
      <w:r w:rsidRPr="005C06BF">
        <w:rPr>
          <w:b/>
        </w:rPr>
        <w:t>Legal Imp</w:t>
      </w:r>
      <w:r>
        <w:rPr>
          <w:b/>
        </w:rPr>
        <w:t>lications</w:t>
      </w:r>
    </w:p>
    <w:p w:rsidR="00340ABA" w:rsidRDefault="00123A27" w:rsidP="00340ABA">
      <w:pPr>
        <w:ind w:left="720" w:hanging="720"/>
        <w:jc w:val="both"/>
      </w:pPr>
      <w:r>
        <w:t>3</w:t>
      </w:r>
      <w:r w:rsidR="002E4410">
        <w:t>0</w:t>
      </w:r>
      <w:r w:rsidR="00340ABA" w:rsidRPr="005C06BF">
        <w:t>.</w:t>
      </w:r>
      <w:r w:rsidR="00340ABA" w:rsidRPr="005C06BF">
        <w:tab/>
      </w:r>
      <w:r w:rsidR="00C7030E">
        <w:t xml:space="preserve">Each community or voluntary group awarded a grant will enter into an agreement with the Council. These agreements outline their responsibilities in regard to the funding </w:t>
      </w:r>
      <w:r w:rsidR="0045473E">
        <w:t>including t</w:t>
      </w:r>
      <w:r w:rsidR="00C7030E">
        <w:t xml:space="preserve">argets and outcomes they have agreed to deliver for this financial support. </w:t>
      </w:r>
    </w:p>
    <w:p w:rsidR="00E206D6" w:rsidRPr="001356F1" w:rsidRDefault="00E206D6" w:rsidP="00340ABA">
      <w:pPr>
        <w:pStyle w:val="ListParagraph"/>
        <w:numPr>
          <w:ilvl w:val="0"/>
          <w:numId w:val="0"/>
        </w:numPr>
        <w:spacing w:after="0"/>
      </w:pPr>
    </w:p>
    <w:p w:rsidR="002329CF" w:rsidRPr="001356F1" w:rsidRDefault="002329CF" w:rsidP="00340ABA">
      <w:pPr>
        <w:spacing w:after="0"/>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FA37E0" w:rsidP="00A46E98">
            <w:r>
              <w:t>Julia Tomkins</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FA37E0" w:rsidP="00A46E98">
            <w:r>
              <w:t>Grant &amp; External Funding Officer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FA37E0" w:rsidP="00A46E98">
            <w:r>
              <w:t>Community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FA37E0" w:rsidP="00FA37E0">
            <w:r>
              <w:t>01865 252685</w:t>
            </w:r>
            <w:r w:rsidR="00E87F7A"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3B0D2D" w:rsidP="00FA37E0">
            <w:pPr>
              <w:rPr>
                <w:rStyle w:val="Hyperlink"/>
                <w:color w:val="000000"/>
              </w:rPr>
            </w:pPr>
            <w:hyperlink r:id="rId10" w:history="1">
              <w:r w:rsidR="00FA37E0" w:rsidRPr="009B1590">
                <w:rPr>
                  <w:rStyle w:val="Hyperlink"/>
                </w:rPr>
                <w:t>jtomkins@oxford.gov.uk</w:t>
              </w:r>
            </w:hyperlink>
            <w:r w:rsidR="00FA37E0">
              <w:rPr>
                <w:rStyle w:val="Hyperlink"/>
                <w:color w:val="000000"/>
              </w:rPr>
              <w:t xml:space="preserve"> </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sectPr w:rsidR="00CE4C87" w:rsidSect="00BC200B">
      <w:footerReference w:type="even" r:id="rId11"/>
      <w:headerReference w:type="first" r:id="rId12"/>
      <w:footerReference w:type="first" r:id="rId13"/>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C54" w:rsidRDefault="00D66C54" w:rsidP="004A6D2F">
      <w:r>
        <w:separator/>
      </w:r>
    </w:p>
  </w:endnote>
  <w:endnote w:type="continuationSeparator" w:id="0">
    <w:p w:rsidR="00D66C54" w:rsidRDefault="00D66C54"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C54" w:rsidRDefault="00D66C54" w:rsidP="004A6D2F">
      <w:r>
        <w:separator/>
      </w:r>
    </w:p>
  </w:footnote>
  <w:footnote w:type="continuationSeparator" w:id="0">
    <w:p w:rsidR="00D66C54" w:rsidRDefault="00D66C54"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4609AF" w:rsidP="00D5547E">
    <w:pPr>
      <w:pStyle w:val="Header"/>
      <w:jc w:val="right"/>
    </w:pPr>
    <w:r>
      <w:rPr>
        <w:noProof/>
      </w:rPr>
      <w:drawing>
        <wp:inline distT="0" distB="0" distL="0" distR="0" wp14:anchorId="4A329301" wp14:editId="113E701F">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26514AD"/>
    <w:multiLevelType w:val="hybridMultilevel"/>
    <w:tmpl w:val="ED58F1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49C05EF"/>
    <w:multiLevelType w:val="multilevel"/>
    <w:tmpl w:val="43D6D2FA"/>
    <w:numStyleLink w:val="StyleBulletedSymbolsymbolLeft063cmHanging063cm"/>
  </w:abstractNum>
  <w:abstractNum w:abstractNumId="14">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7746348"/>
    <w:multiLevelType w:val="hybridMultilevel"/>
    <w:tmpl w:val="25A0C23C"/>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7">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2263A6A"/>
    <w:multiLevelType w:val="multilevel"/>
    <w:tmpl w:val="43D6D2FA"/>
    <w:numStyleLink w:val="StyleBulletedSymbolsymbolLeft063cmHanging063cm"/>
  </w:abstractNum>
  <w:abstractNum w:abstractNumId="20">
    <w:nsid w:val="24172CC8"/>
    <w:multiLevelType w:val="hybridMultilevel"/>
    <w:tmpl w:val="449C6B96"/>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1">
    <w:nsid w:val="27201D67"/>
    <w:multiLevelType w:val="hybridMultilevel"/>
    <w:tmpl w:val="821E1EDA"/>
    <w:lvl w:ilvl="0" w:tplc="08090001">
      <w:start w:val="1"/>
      <w:numFmt w:val="bullet"/>
      <w:lvlText w:val=""/>
      <w:lvlJc w:val="left"/>
      <w:pPr>
        <w:tabs>
          <w:tab w:val="num" w:pos="1179"/>
        </w:tabs>
        <w:ind w:left="1179" w:hanging="360"/>
      </w:pPr>
      <w:rPr>
        <w:rFonts w:ascii="Symbol" w:hAnsi="Symbol" w:hint="default"/>
      </w:rPr>
    </w:lvl>
    <w:lvl w:ilvl="1" w:tplc="08090003" w:tentative="1">
      <w:start w:val="1"/>
      <w:numFmt w:val="bullet"/>
      <w:lvlText w:val="o"/>
      <w:lvlJc w:val="left"/>
      <w:pPr>
        <w:tabs>
          <w:tab w:val="num" w:pos="1899"/>
        </w:tabs>
        <w:ind w:left="1899" w:hanging="360"/>
      </w:pPr>
      <w:rPr>
        <w:rFonts w:ascii="Courier New" w:hAnsi="Courier New" w:cs="Courier New" w:hint="default"/>
      </w:rPr>
    </w:lvl>
    <w:lvl w:ilvl="2" w:tplc="08090005" w:tentative="1">
      <w:start w:val="1"/>
      <w:numFmt w:val="bullet"/>
      <w:lvlText w:val=""/>
      <w:lvlJc w:val="left"/>
      <w:pPr>
        <w:tabs>
          <w:tab w:val="num" w:pos="2619"/>
        </w:tabs>
        <w:ind w:left="2619" w:hanging="360"/>
      </w:pPr>
      <w:rPr>
        <w:rFonts w:ascii="Wingdings" w:hAnsi="Wingdings" w:hint="default"/>
      </w:rPr>
    </w:lvl>
    <w:lvl w:ilvl="3" w:tplc="08090001" w:tentative="1">
      <w:start w:val="1"/>
      <w:numFmt w:val="bullet"/>
      <w:lvlText w:val=""/>
      <w:lvlJc w:val="left"/>
      <w:pPr>
        <w:tabs>
          <w:tab w:val="num" w:pos="3339"/>
        </w:tabs>
        <w:ind w:left="3339" w:hanging="360"/>
      </w:pPr>
      <w:rPr>
        <w:rFonts w:ascii="Symbol" w:hAnsi="Symbol" w:hint="default"/>
      </w:rPr>
    </w:lvl>
    <w:lvl w:ilvl="4" w:tplc="08090003" w:tentative="1">
      <w:start w:val="1"/>
      <w:numFmt w:val="bullet"/>
      <w:lvlText w:val="o"/>
      <w:lvlJc w:val="left"/>
      <w:pPr>
        <w:tabs>
          <w:tab w:val="num" w:pos="4059"/>
        </w:tabs>
        <w:ind w:left="4059" w:hanging="360"/>
      </w:pPr>
      <w:rPr>
        <w:rFonts w:ascii="Courier New" w:hAnsi="Courier New" w:cs="Courier New" w:hint="default"/>
      </w:rPr>
    </w:lvl>
    <w:lvl w:ilvl="5" w:tplc="08090005" w:tentative="1">
      <w:start w:val="1"/>
      <w:numFmt w:val="bullet"/>
      <w:lvlText w:val=""/>
      <w:lvlJc w:val="left"/>
      <w:pPr>
        <w:tabs>
          <w:tab w:val="num" w:pos="4779"/>
        </w:tabs>
        <w:ind w:left="4779" w:hanging="360"/>
      </w:pPr>
      <w:rPr>
        <w:rFonts w:ascii="Wingdings" w:hAnsi="Wingdings" w:hint="default"/>
      </w:rPr>
    </w:lvl>
    <w:lvl w:ilvl="6" w:tplc="08090001" w:tentative="1">
      <w:start w:val="1"/>
      <w:numFmt w:val="bullet"/>
      <w:lvlText w:val=""/>
      <w:lvlJc w:val="left"/>
      <w:pPr>
        <w:tabs>
          <w:tab w:val="num" w:pos="5499"/>
        </w:tabs>
        <w:ind w:left="5499" w:hanging="360"/>
      </w:pPr>
      <w:rPr>
        <w:rFonts w:ascii="Symbol" w:hAnsi="Symbol" w:hint="default"/>
      </w:rPr>
    </w:lvl>
    <w:lvl w:ilvl="7" w:tplc="08090003" w:tentative="1">
      <w:start w:val="1"/>
      <w:numFmt w:val="bullet"/>
      <w:lvlText w:val="o"/>
      <w:lvlJc w:val="left"/>
      <w:pPr>
        <w:tabs>
          <w:tab w:val="num" w:pos="6219"/>
        </w:tabs>
        <w:ind w:left="6219" w:hanging="360"/>
      </w:pPr>
      <w:rPr>
        <w:rFonts w:ascii="Courier New" w:hAnsi="Courier New" w:cs="Courier New" w:hint="default"/>
      </w:rPr>
    </w:lvl>
    <w:lvl w:ilvl="8" w:tplc="08090005" w:tentative="1">
      <w:start w:val="1"/>
      <w:numFmt w:val="bullet"/>
      <w:lvlText w:val=""/>
      <w:lvlJc w:val="left"/>
      <w:pPr>
        <w:tabs>
          <w:tab w:val="num" w:pos="6939"/>
        </w:tabs>
        <w:ind w:left="6939" w:hanging="360"/>
      </w:pPr>
      <w:rPr>
        <w:rFonts w:ascii="Wingdings" w:hAnsi="Wingdings" w:hint="default"/>
      </w:rPr>
    </w:lvl>
  </w:abstractNum>
  <w:abstractNum w:abstractNumId="22">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EC27E10"/>
    <w:multiLevelType w:val="hybridMultilevel"/>
    <w:tmpl w:val="DB90C6C8"/>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4">
    <w:nsid w:val="32D54002"/>
    <w:multiLevelType w:val="hybridMultilevel"/>
    <w:tmpl w:val="91E0AC3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5">
    <w:nsid w:val="38560D21"/>
    <w:multiLevelType w:val="hybridMultilevel"/>
    <w:tmpl w:val="B53C3B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CC6464F"/>
    <w:multiLevelType w:val="hybridMultilevel"/>
    <w:tmpl w:val="DB66742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nsid w:val="3E1C6A00"/>
    <w:multiLevelType w:val="hybridMultilevel"/>
    <w:tmpl w:val="9A3C6302"/>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9">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59A6503"/>
    <w:multiLevelType w:val="hybridMultilevel"/>
    <w:tmpl w:val="73F88364"/>
    <w:lvl w:ilvl="0" w:tplc="F7CE1B8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8762D0A"/>
    <w:multiLevelType w:val="hybridMultilevel"/>
    <w:tmpl w:val="D4EC0B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49101E3E"/>
    <w:multiLevelType w:val="hybridMultilevel"/>
    <w:tmpl w:val="23C80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5ABA5FD8"/>
    <w:multiLevelType w:val="multilevel"/>
    <w:tmpl w:val="43D6D2FA"/>
    <w:numStyleLink w:val="StyleBulletedSymbolsymbolLeft063cmHanging063cm"/>
  </w:abstractNum>
  <w:abstractNum w:abstractNumId="39">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2693091"/>
    <w:multiLevelType w:val="hybridMultilevel"/>
    <w:tmpl w:val="D076C0CA"/>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1">
    <w:nsid w:val="62A22831"/>
    <w:multiLevelType w:val="multilevel"/>
    <w:tmpl w:val="43D6D2FA"/>
    <w:numStyleLink w:val="StyleBulletedSymbolsymbolLeft063cmHanging063cm"/>
  </w:abstractNum>
  <w:abstractNum w:abstractNumId="42">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DC86268"/>
    <w:multiLevelType w:val="hybridMultilevel"/>
    <w:tmpl w:val="195C62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nsid w:val="798365C6"/>
    <w:multiLevelType w:val="multilevel"/>
    <w:tmpl w:val="E67CE66C"/>
    <w:numStyleLink w:val="StyleNumberedLeft0cmHanging075cm"/>
  </w:abstractNum>
  <w:abstractNum w:abstractNumId="47">
    <w:nsid w:val="7DBC5C82"/>
    <w:multiLevelType w:val="hybridMultilevel"/>
    <w:tmpl w:val="4E069F08"/>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37"/>
  </w:num>
  <w:num w:numId="2">
    <w:abstractNumId w:val="43"/>
  </w:num>
  <w:num w:numId="3">
    <w:abstractNumId w:val="32"/>
  </w:num>
  <w:num w:numId="4">
    <w:abstractNumId w:val="22"/>
  </w:num>
  <w:num w:numId="5">
    <w:abstractNumId w:val="39"/>
  </w:num>
  <w:num w:numId="6">
    <w:abstractNumId w:val="45"/>
  </w:num>
  <w:num w:numId="7">
    <w:abstractNumId w:val="30"/>
  </w:num>
  <w:num w:numId="8">
    <w:abstractNumId w:val="26"/>
  </w:num>
  <w:num w:numId="9">
    <w:abstractNumId w:val="14"/>
  </w:num>
  <w:num w:numId="10">
    <w:abstractNumId w:val="17"/>
  </w:num>
  <w:num w:numId="11">
    <w:abstractNumId w:val="36"/>
  </w:num>
  <w:num w:numId="12">
    <w:abstractNumId w:val="33"/>
  </w:num>
  <w:num w:numId="13">
    <w:abstractNumId w:val="11"/>
  </w:num>
  <w:num w:numId="14">
    <w:abstractNumId w:val="46"/>
  </w:num>
  <w:num w:numId="15">
    <w:abstractNumId w:val="18"/>
  </w:num>
  <w:num w:numId="16">
    <w:abstractNumId w:val="12"/>
  </w:num>
  <w:num w:numId="17">
    <w:abstractNumId w:val="38"/>
  </w:num>
  <w:num w:numId="18">
    <w:abstractNumId w:val="13"/>
  </w:num>
  <w:num w:numId="19">
    <w:abstractNumId w:val="41"/>
  </w:num>
  <w:num w:numId="20">
    <w:abstractNumId w:val="19"/>
  </w:num>
  <w:num w:numId="21">
    <w:abstractNumId w:val="29"/>
  </w:num>
  <w:num w:numId="22">
    <w:abstractNumId w:val="15"/>
  </w:num>
  <w:num w:numId="23">
    <w:abstractNumId w:val="42"/>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7"/>
  </w:num>
  <w:num w:numId="35">
    <w:abstractNumId w:val="21"/>
  </w:num>
  <w:num w:numId="36">
    <w:abstractNumId w:val="10"/>
  </w:num>
  <w:num w:numId="37">
    <w:abstractNumId w:val="44"/>
  </w:num>
  <w:num w:numId="38">
    <w:abstractNumId w:val="34"/>
  </w:num>
  <w:num w:numId="39">
    <w:abstractNumId w:val="31"/>
  </w:num>
  <w:num w:numId="40">
    <w:abstractNumId w:val="35"/>
  </w:num>
  <w:num w:numId="41">
    <w:abstractNumId w:val="25"/>
  </w:num>
  <w:num w:numId="42">
    <w:abstractNumId w:val="24"/>
  </w:num>
  <w:num w:numId="43">
    <w:abstractNumId w:val="23"/>
  </w:num>
  <w:num w:numId="44">
    <w:abstractNumId w:val="16"/>
  </w:num>
  <w:num w:numId="45">
    <w:abstractNumId w:val="20"/>
  </w:num>
  <w:num w:numId="46">
    <w:abstractNumId w:val="28"/>
  </w:num>
  <w:num w:numId="47">
    <w:abstractNumId w:val="47"/>
  </w:num>
  <w:num w:numId="48">
    <w:abstractNumId w:val="4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9AF"/>
    <w:rsid w:val="000101DF"/>
    <w:rsid w:val="000117D4"/>
    <w:rsid w:val="00017637"/>
    <w:rsid w:val="00020C9E"/>
    <w:rsid w:val="000314D7"/>
    <w:rsid w:val="00034ADE"/>
    <w:rsid w:val="00045F8B"/>
    <w:rsid w:val="00046D2B"/>
    <w:rsid w:val="00056263"/>
    <w:rsid w:val="00064D8A"/>
    <w:rsid w:val="00064F82"/>
    <w:rsid w:val="00066510"/>
    <w:rsid w:val="00077523"/>
    <w:rsid w:val="00095F4A"/>
    <w:rsid w:val="000C089F"/>
    <w:rsid w:val="000C2C34"/>
    <w:rsid w:val="000C3928"/>
    <w:rsid w:val="000C5E8E"/>
    <w:rsid w:val="000D4021"/>
    <w:rsid w:val="000E0D7A"/>
    <w:rsid w:val="000E10F3"/>
    <w:rsid w:val="000F4751"/>
    <w:rsid w:val="0010524C"/>
    <w:rsid w:val="00111FB1"/>
    <w:rsid w:val="00113418"/>
    <w:rsid w:val="001145C4"/>
    <w:rsid w:val="00123A27"/>
    <w:rsid w:val="001356F1"/>
    <w:rsid w:val="00136994"/>
    <w:rsid w:val="0014128E"/>
    <w:rsid w:val="001505AF"/>
    <w:rsid w:val="00151888"/>
    <w:rsid w:val="00165431"/>
    <w:rsid w:val="001665AA"/>
    <w:rsid w:val="0016791C"/>
    <w:rsid w:val="00170A2D"/>
    <w:rsid w:val="00177487"/>
    <w:rsid w:val="001808BC"/>
    <w:rsid w:val="00182B81"/>
    <w:rsid w:val="00183657"/>
    <w:rsid w:val="0018619D"/>
    <w:rsid w:val="001A011E"/>
    <w:rsid w:val="001A066A"/>
    <w:rsid w:val="001A13E6"/>
    <w:rsid w:val="001A5731"/>
    <w:rsid w:val="001B42C3"/>
    <w:rsid w:val="001C5D5E"/>
    <w:rsid w:val="001D607C"/>
    <w:rsid w:val="001D678D"/>
    <w:rsid w:val="001E03F8"/>
    <w:rsid w:val="001E1678"/>
    <w:rsid w:val="001E3376"/>
    <w:rsid w:val="001F2613"/>
    <w:rsid w:val="002069B3"/>
    <w:rsid w:val="002329CF"/>
    <w:rsid w:val="00232F5B"/>
    <w:rsid w:val="00247C29"/>
    <w:rsid w:val="00260467"/>
    <w:rsid w:val="0026285A"/>
    <w:rsid w:val="00263EA3"/>
    <w:rsid w:val="00284F85"/>
    <w:rsid w:val="00290915"/>
    <w:rsid w:val="00295023"/>
    <w:rsid w:val="002A22E2"/>
    <w:rsid w:val="002A5E04"/>
    <w:rsid w:val="002B3A3C"/>
    <w:rsid w:val="002C2CC3"/>
    <w:rsid w:val="002C64F7"/>
    <w:rsid w:val="002E4410"/>
    <w:rsid w:val="002F41F2"/>
    <w:rsid w:val="00301BF3"/>
    <w:rsid w:val="0030208D"/>
    <w:rsid w:val="00323418"/>
    <w:rsid w:val="00330FE5"/>
    <w:rsid w:val="003357BF"/>
    <w:rsid w:val="00340ABA"/>
    <w:rsid w:val="00361247"/>
    <w:rsid w:val="00364FAD"/>
    <w:rsid w:val="0036738F"/>
    <w:rsid w:val="0036759C"/>
    <w:rsid w:val="00367AE5"/>
    <w:rsid w:val="00367D71"/>
    <w:rsid w:val="0038150A"/>
    <w:rsid w:val="00383727"/>
    <w:rsid w:val="00397064"/>
    <w:rsid w:val="003A3BD2"/>
    <w:rsid w:val="003B0D2D"/>
    <w:rsid w:val="003B6E75"/>
    <w:rsid w:val="003B7DA1"/>
    <w:rsid w:val="003D0379"/>
    <w:rsid w:val="003D2574"/>
    <w:rsid w:val="003D4C59"/>
    <w:rsid w:val="003E7C5C"/>
    <w:rsid w:val="003F24FA"/>
    <w:rsid w:val="003F315E"/>
    <w:rsid w:val="003F4267"/>
    <w:rsid w:val="00403188"/>
    <w:rsid w:val="00404032"/>
    <w:rsid w:val="0040736F"/>
    <w:rsid w:val="00412C1F"/>
    <w:rsid w:val="00421CB2"/>
    <w:rsid w:val="004263B3"/>
    <w:rsid w:val="004268B9"/>
    <w:rsid w:val="00433B96"/>
    <w:rsid w:val="004440F1"/>
    <w:rsid w:val="004456DD"/>
    <w:rsid w:val="004468D0"/>
    <w:rsid w:val="00446CDF"/>
    <w:rsid w:val="0045021B"/>
    <w:rsid w:val="004521B7"/>
    <w:rsid w:val="0045473E"/>
    <w:rsid w:val="004609AF"/>
    <w:rsid w:val="00462AB5"/>
    <w:rsid w:val="00465EAF"/>
    <w:rsid w:val="004738C5"/>
    <w:rsid w:val="00491046"/>
    <w:rsid w:val="004A2AC7"/>
    <w:rsid w:val="004A4655"/>
    <w:rsid w:val="004A6D2F"/>
    <w:rsid w:val="004C2887"/>
    <w:rsid w:val="004D2626"/>
    <w:rsid w:val="004D6E26"/>
    <w:rsid w:val="004D77D3"/>
    <w:rsid w:val="004E2959"/>
    <w:rsid w:val="004E35F0"/>
    <w:rsid w:val="004F20EF"/>
    <w:rsid w:val="004F3F6E"/>
    <w:rsid w:val="0050321C"/>
    <w:rsid w:val="005313F0"/>
    <w:rsid w:val="005423FA"/>
    <w:rsid w:val="0054712D"/>
    <w:rsid w:val="00547EF6"/>
    <w:rsid w:val="005514EA"/>
    <w:rsid w:val="00552728"/>
    <w:rsid w:val="005570B5"/>
    <w:rsid w:val="00567E18"/>
    <w:rsid w:val="00575F5F"/>
    <w:rsid w:val="00581805"/>
    <w:rsid w:val="00585F76"/>
    <w:rsid w:val="005A34E4"/>
    <w:rsid w:val="005B17F2"/>
    <w:rsid w:val="005B3235"/>
    <w:rsid w:val="005B77F6"/>
    <w:rsid w:val="005B7FB0"/>
    <w:rsid w:val="005C0FF4"/>
    <w:rsid w:val="005C35A5"/>
    <w:rsid w:val="005C577C"/>
    <w:rsid w:val="005D0621"/>
    <w:rsid w:val="005D1E27"/>
    <w:rsid w:val="005D2A3E"/>
    <w:rsid w:val="005E022E"/>
    <w:rsid w:val="005E5215"/>
    <w:rsid w:val="005F6997"/>
    <w:rsid w:val="005F7F7E"/>
    <w:rsid w:val="0061444F"/>
    <w:rsid w:val="00614693"/>
    <w:rsid w:val="006208B2"/>
    <w:rsid w:val="00623C2F"/>
    <w:rsid w:val="00633578"/>
    <w:rsid w:val="00637068"/>
    <w:rsid w:val="00650811"/>
    <w:rsid w:val="00650ACC"/>
    <w:rsid w:val="00661D3E"/>
    <w:rsid w:val="00675514"/>
    <w:rsid w:val="00680011"/>
    <w:rsid w:val="00692627"/>
    <w:rsid w:val="00692D56"/>
    <w:rsid w:val="006969E7"/>
    <w:rsid w:val="006A3643"/>
    <w:rsid w:val="006A6207"/>
    <w:rsid w:val="006C00C3"/>
    <w:rsid w:val="006C2A29"/>
    <w:rsid w:val="006C64CF"/>
    <w:rsid w:val="006D17B1"/>
    <w:rsid w:val="006D4752"/>
    <w:rsid w:val="006D708A"/>
    <w:rsid w:val="006E14C1"/>
    <w:rsid w:val="006F0292"/>
    <w:rsid w:val="006F27FA"/>
    <w:rsid w:val="006F416B"/>
    <w:rsid w:val="006F519B"/>
    <w:rsid w:val="00703285"/>
    <w:rsid w:val="0071330A"/>
    <w:rsid w:val="00713675"/>
    <w:rsid w:val="00715823"/>
    <w:rsid w:val="00737B93"/>
    <w:rsid w:val="0074345D"/>
    <w:rsid w:val="00745BF0"/>
    <w:rsid w:val="00761529"/>
    <w:rsid w:val="007615FE"/>
    <w:rsid w:val="0076655C"/>
    <w:rsid w:val="007742DC"/>
    <w:rsid w:val="00782D2E"/>
    <w:rsid w:val="00791437"/>
    <w:rsid w:val="007B0C2C"/>
    <w:rsid w:val="007B278E"/>
    <w:rsid w:val="007B4683"/>
    <w:rsid w:val="007C5C23"/>
    <w:rsid w:val="007E2A26"/>
    <w:rsid w:val="007E6B79"/>
    <w:rsid w:val="007F2348"/>
    <w:rsid w:val="00803F07"/>
    <w:rsid w:val="0080749A"/>
    <w:rsid w:val="0081068B"/>
    <w:rsid w:val="008135DB"/>
    <w:rsid w:val="008201D4"/>
    <w:rsid w:val="00821FB8"/>
    <w:rsid w:val="00822ACD"/>
    <w:rsid w:val="00852A0B"/>
    <w:rsid w:val="00855C66"/>
    <w:rsid w:val="0086733D"/>
    <w:rsid w:val="00867E57"/>
    <w:rsid w:val="00871EE4"/>
    <w:rsid w:val="0087246D"/>
    <w:rsid w:val="00893237"/>
    <w:rsid w:val="00896856"/>
    <w:rsid w:val="00896DC0"/>
    <w:rsid w:val="008B293F"/>
    <w:rsid w:val="008B7371"/>
    <w:rsid w:val="008C338F"/>
    <w:rsid w:val="008D2818"/>
    <w:rsid w:val="008D3DDB"/>
    <w:rsid w:val="008E0142"/>
    <w:rsid w:val="008E456B"/>
    <w:rsid w:val="008E5389"/>
    <w:rsid w:val="008F573F"/>
    <w:rsid w:val="00902B7F"/>
    <w:rsid w:val="009034EC"/>
    <w:rsid w:val="009057BF"/>
    <w:rsid w:val="00912D6C"/>
    <w:rsid w:val="0093067A"/>
    <w:rsid w:val="00931E58"/>
    <w:rsid w:val="00941C60"/>
    <w:rsid w:val="00966D42"/>
    <w:rsid w:val="00971689"/>
    <w:rsid w:val="00973E90"/>
    <w:rsid w:val="00975B07"/>
    <w:rsid w:val="00980B4A"/>
    <w:rsid w:val="00980F61"/>
    <w:rsid w:val="009C1660"/>
    <w:rsid w:val="009C5B17"/>
    <w:rsid w:val="009D19F6"/>
    <w:rsid w:val="009E3BA8"/>
    <w:rsid w:val="009E3D0A"/>
    <w:rsid w:val="009E51FC"/>
    <w:rsid w:val="009F1D28"/>
    <w:rsid w:val="009F7618"/>
    <w:rsid w:val="00A04D23"/>
    <w:rsid w:val="00A06766"/>
    <w:rsid w:val="00A13765"/>
    <w:rsid w:val="00A21B12"/>
    <w:rsid w:val="00A23F80"/>
    <w:rsid w:val="00A46E98"/>
    <w:rsid w:val="00A61303"/>
    <w:rsid w:val="00A6352B"/>
    <w:rsid w:val="00A701B5"/>
    <w:rsid w:val="00A714BB"/>
    <w:rsid w:val="00A92D8F"/>
    <w:rsid w:val="00AB2988"/>
    <w:rsid w:val="00AB7999"/>
    <w:rsid w:val="00AD3292"/>
    <w:rsid w:val="00AE7AF0"/>
    <w:rsid w:val="00B01ECD"/>
    <w:rsid w:val="00B10F1A"/>
    <w:rsid w:val="00B12ECA"/>
    <w:rsid w:val="00B419DE"/>
    <w:rsid w:val="00B500CA"/>
    <w:rsid w:val="00B55F3F"/>
    <w:rsid w:val="00B716EE"/>
    <w:rsid w:val="00B86314"/>
    <w:rsid w:val="00BA1C2E"/>
    <w:rsid w:val="00BB446C"/>
    <w:rsid w:val="00BC200B"/>
    <w:rsid w:val="00BC4756"/>
    <w:rsid w:val="00BC69A4"/>
    <w:rsid w:val="00BE0680"/>
    <w:rsid w:val="00BE305F"/>
    <w:rsid w:val="00BE7BA3"/>
    <w:rsid w:val="00BF5682"/>
    <w:rsid w:val="00BF7B09"/>
    <w:rsid w:val="00C16568"/>
    <w:rsid w:val="00C20A95"/>
    <w:rsid w:val="00C2692F"/>
    <w:rsid w:val="00C3207C"/>
    <w:rsid w:val="00C400E1"/>
    <w:rsid w:val="00C41187"/>
    <w:rsid w:val="00C42AD4"/>
    <w:rsid w:val="00C63C31"/>
    <w:rsid w:val="00C63C74"/>
    <w:rsid w:val="00C7030E"/>
    <w:rsid w:val="00C7059A"/>
    <w:rsid w:val="00C749B2"/>
    <w:rsid w:val="00C74C55"/>
    <w:rsid w:val="00C757A0"/>
    <w:rsid w:val="00C760DE"/>
    <w:rsid w:val="00C82630"/>
    <w:rsid w:val="00C85B4E"/>
    <w:rsid w:val="00C907F7"/>
    <w:rsid w:val="00CA0196"/>
    <w:rsid w:val="00CA2103"/>
    <w:rsid w:val="00CB6B99"/>
    <w:rsid w:val="00CD3612"/>
    <w:rsid w:val="00CE4C87"/>
    <w:rsid w:val="00CE544A"/>
    <w:rsid w:val="00CF33DF"/>
    <w:rsid w:val="00D10C33"/>
    <w:rsid w:val="00D11E1C"/>
    <w:rsid w:val="00D160B0"/>
    <w:rsid w:val="00D17F94"/>
    <w:rsid w:val="00D21F22"/>
    <w:rsid w:val="00D223FC"/>
    <w:rsid w:val="00D26D1E"/>
    <w:rsid w:val="00D474CF"/>
    <w:rsid w:val="00D5547E"/>
    <w:rsid w:val="00D61F91"/>
    <w:rsid w:val="00D66C54"/>
    <w:rsid w:val="00D80DD3"/>
    <w:rsid w:val="00D869A1"/>
    <w:rsid w:val="00D87708"/>
    <w:rsid w:val="00DA3A25"/>
    <w:rsid w:val="00DA413F"/>
    <w:rsid w:val="00DA4584"/>
    <w:rsid w:val="00DA614B"/>
    <w:rsid w:val="00DC2706"/>
    <w:rsid w:val="00DC3060"/>
    <w:rsid w:val="00DE0FB2"/>
    <w:rsid w:val="00DF093E"/>
    <w:rsid w:val="00E01F42"/>
    <w:rsid w:val="00E152A7"/>
    <w:rsid w:val="00E206D6"/>
    <w:rsid w:val="00E3366E"/>
    <w:rsid w:val="00E44A1C"/>
    <w:rsid w:val="00E47B7C"/>
    <w:rsid w:val="00E52086"/>
    <w:rsid w:val="00E543A6"/>
    <w:rsid w:val="00E60479"/>
    <w:rsid w:val="00E61D73"/>
    <w:rsid w:val="00E705D8"/>
    <w:rsid w:val="00E71C8E"/>
    <w:rsid w:val="00E72765"/>
    <w:rsid w:val="00E73684"/>
    <w:rsid w:val="00E818D6"/>
    <w:rsid w:val="00E87F7A"/>
    <w:rsid w:val="00E96BD7"/>
    <w:rsid w:val="00EA0DB1"/>
    <w:rsid w:val="00EA0EE9"/>
    <w:rsid w:val="00EB4685"/>
    <w:rsid w:val="00EC183C"/>
    <w:rsid w:val="00EC4E99"/>
    <w:rsid w:val="00ED52CA"/>
    <w:rsid w:val="00ED5860"/>
    <w:rsid w:val="00EE1806"/>
    <w:rsid w:val="00EE35C9"/>
    <w:rsid w:val="00EF2EAB"/>
    <w:rsid w:val="00F05ECA"/>
    <w:rsid w:val="00F06373"/>
    <w:rsid w:val="00F3566E"/>
    <w:rsid w:val="00F375FB"/>
    <w:rsid w:val="00F41AC1"/>
    <w:rsid w:val="00F4367A"/>
    <w:rsid w:val="00F445B1"/>
    <w:rsid w:val="00F45CD4"/>
    <w:rsid w:val="00F466A9"/>
    <w:rsid w:val="00F5121B"/>
    <w:rsid w:val="00F6163F"/>
    <w:rsid w:val="00F65114"/>
    <w:rsid w:val="00F66DCA"/>
    <w:rsid w:val="00F74F53"/>
    <w:rsid w:val="00F7606D"/>
    <w:rsid w:val="00F81670"/>
    <w:rsid w:val="00F82024"/>
    <w:rsid w:val="00F82FB6"/>
    <w:rsid w:val="00F95BC9"/>
    <w:rsid w:val="00FA37E0"/>
    <w:rsid w:val="00FA43B2"/>
    <w:rsid w:val="00FA624C"/>
    <w:rsid w:val="00FB64F3"/>
    <w:rsid w:val="00FC2FE8"/>
    <w:rsid w:val="00FD0FAC"/>
    <w:rsid w:val="00FD1DFA"/>
    <w:rsid w:val="00FD4966"/>
    <w:rsid w:val="00FE57DC"/>
    <w:rsid w:val="00FF7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customStyle="1" w:styleId="Default">
    <w:name w:val="Default"/>
    <w:rsid w:val="00340ABA"/>
    <w:pPr>
      <w:autoSpaceDE w:val="0"/>
      <w:autoSpaceDN w:val="0"/>
      <w:adjustRightInd w:val="0"/>
    </w:pPr>
    <w:rPr>
      <w:rFonts w:cs="Arial"/>
      <w:color w:val="000000"/>
      <w:sz w:val="24"/>
      <w:szCs w:val="24"/>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BBCText">
    <w:name w:val="BBCText"/>
    <w:rsid w:val="00C42AD4"/>
    <w:pPr>
      <w:overflowPunct w:val="0"/>
      <w:autoSpaceDE w:val="0"/>
      <w:autoSpaceDN w:val="0"/>
      <w:adjustRightInd w:val="0"/>
      <w:textAlignment w:val="baseline"/>
    </w:pPr>
    <w:rPr>
      <w:rFonts w:ascii="Times New Roman" w:hAnsi="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customStyle="1" w:styleId="Default">
    <w:name w:val="Default"/>
    <w:rsid w:val="00340ABA"/>
    <w:pPr>
      <w:autoSpaceDE w:val="0"/>
      <w:autoSpaceDN w:val="0"/>
      <w:adjustRightInd w:val="0"/>
    </w:pPr>
    <w:rPr>
      <w:rFonts w:cs="Arial"/>
      <w:color w:val="000000"/>
      <w:sz w:val="24"/>
      <w:szCs w:val="24"/>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BBCText">
    <w:name w:val="BBCText"/>
    <w:rsid w:val="00C42AD4"/>
    <w:pPr>
      <w:overflowPunct w:val="0"/>
      <w:autoSpaceDE w:val="0"/>
      <w:autoSpaceDN w:val="0"/>
      <w:adjustRightInd w:val="0"/>
      <w:textAlignment w:val="baseline"/>
    </w:pPr>
    <w:rPr>
      <w:rFonts w:ascii="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tomkins@oxford.gov.uk" TargetMode="External"/><Relationship Id="rId4" Type="http://schemas.microsoft.com/office/2007/relationships/stylesWithEffects" Target="stylesWithEffects.xml"/><Relationship Id="rId9" Type="http://schemas.openxmlformats.org/officeDocument/2006/relationships/hyperlink" Target="http://mycouncil.oxford.gov.uk/ieListDocuments.aspx?CId=119&amp;MId=4313&amp;Ver=4"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Communities%20and%20Neighbourhoods\Roles%20and%20Responsibilities\Grants%20and%20External%20Funding%20Officer\Grants\Grants%20Current\Grants\CEB%2009.02.17%20%20-%20recommendations%20for%202017-18%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1E49B-E316-4869-95C3-E71A33D93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09.02.17  - recommendations for 2017-18 V2</Template>
  <TotalTime>14</TotalTime>
  <Pages>6</Pages>
  <Words>1949</Words>
  <Characters>11358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13281</CharactersWithSpaces>
  <SharedDoc>false</SharedDoc>
  <HLinks>
    <vt:vector size="6" baseType="variant">
      <vt:variant>
        <vt:i4>3473501</vt:i4>
      </vt:variant>
      <vt:variant>
        <vt:i4>0</vt:i4>
      </vt:variant>
      <vt:variant>
        <vt:i4>0</vt:i4>
      </vt:variant>
      <vt:variant>
        <vt:i4>5</vt:i4>
      </vt:variant>
      <vt:variant>
        <vt:lpwstr>mailto:jtomkins@oxford.gov.uk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Julia.Tomkins</dc:creator>
  <cp:lastModifiedBy>cphythian</cp:lastModifiedBy>
  <cp:revision>10</cp:revision>
  <cp:lastPrinted>2017-12-05T09:09:00Z</cp:lastPrinted>
  <dcterms:created xsi:type="dcterms:W3CDTF">2018-01-22T09:13:00Z</dcterms:created>
  <dcterms:modified xsi:type="dcterms:W3CDTF">2018-02-02T11:19:00Z</dcterms:modified>
</cp:coreProperties>
</file>